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21CC" w14:textId="77777777" w:rsidR="009B4170" w:rsidRPr="007F4A2B" w:rsidRDefault="009B4170" w:rsidP="009B4170">
      <w:pPr>
        <w:jc w:val="center"/>
        <w:rPr>
          <w:rFonts w:asciiTheme="majorHAnsi" w:hAnsiTheme="majorHAnsi" w:cstheme="majorHAnsi"/>
          <w:b/>
          <w:sz w:val="20"/>
          <w:szCs w:val="20"/>
        </w:rPr>
      </w:pPr>
      <w:r w:rsidRPr="007F4A2B">
        <w:rPr>
          <w:rFonts w:asciiTheme="majorHAnsi" w:hAnsiTheme="majorHAnsi" w:cstheme="majorHAnsi"/>
          <w:b/>
          <w:sz w:val="20"/>
          <w:szCs w:val="20"/>
        </w:rPr>
        <w:t>Newcastle Law School</w:t>
      </w:r>
    </w:p>
    <w:p w14:paraId="2160FDB0" w14:textId="55A72400" w:rsidR="00F24A89" w:rsidRPr="007F4A2B" w:rsidRDefault="008D3D0C" w:rsidP="0052696E">
      <w:pPr>
        <w:jc w:val="center"/>
        <w:rPr>
          <w:rFonts w:asciiTheme="majorHAnsi" w:hAnsiTheme="majorHAnsi" w:cstheme="majorHAnsi"/>
          <w:b/>
          <w:sz w:val="20"/>
          <w:szCs w:val="20"/>
        </w:rPr>
      </w:pPr>
      <w:r w:rsidRPr="007F4A2B">
        <w:rPr>
          <w:rFonts w:asciiTheme="majorHAnsi" w:hAnsiTheme="majorHAnsi" w:cstheme="majorHAnsi"/>
          <w:b/>
          <w:sz w:val="20"/>
          <w:szCs w:val="20"/>
        </w:rPr>
        <w:t>Non-Law Modules Information</w:t>
      </w:r>
      <w:r w:rsidR="001D7C9C" w:rsidRPr="007F4A2B">
        <w:rPr>
          <w:rFonts w:asciiTheme="majorHAnsi" w:hAnsiTheme="majorHAnsi" w:cstheme="majorHAnsi"/>
          <w:b/>
          <w:sz w:val="20"/>
          <w:szCs w:val="20"/>
        </w:rPr>
        <w:t xml:space="preserve"> for PGT students</w:t>
      </w:r>
    </w:p>
    <w:p w14:paraId="6F25A07A" w14:textId="05238A02" w:rsidR="00404624" w:rsidRPr="007F4A2B" w:rsidRDefault="00404624" w:rsidP="009B4170">
      <w:pPr>
        <w:autoSpaceDE w:val="0"/>
        <w:autoSpaceDN w:val="0"/>
        <w:spacing w:after="0" w:line="240" w:lineRule="auto"/>
        <w:rPr>
          <w:rFonts w:asciiTheme="majorHAnsi" w:hAnsiTheme="majorHAnsi" w:cstheme="majorHAnsi"/>
          <w:bCs/>
          <w:sz w:val="20"/>
          <w:szCs w:val="20"/>
        </w:rPr>
      </w:pPr>
    </w:p>
    <w:p w14:paraId="2153D98A" w14:textId="39FFC655" w:rsidR="00404624" w:rsidRPr="007F4A2B" w:rsidRDefault="00404624" w:rsidP="009B4170">
      <w:pPr>
        <w:autoSpaceDE w:val="0"/>
        <w:autoSpaceDN w:val="0"/>
        <w:spacing w:after="0" w:line="240" w:lineRule="auto"/>
        <w:rPr>
          <w:rFonts w:asciiTheme="majorHAnsi" w:hAnsiTheme="majorHAnsi" w:cstheme="majorHAnsi"/>
          <w:b/>
          <w:bCs/>
          <w:sz w:val="20"/>
          <w:szCs w:val="20"/>
        </w:rPr>
      </w:pPr>
      <w:r w:rsidRPr="007F4A2B">
        <w:rPr>
          <w:rFonts w:asciiTheme="majorHAnsi" w:hAnsiTheme="majorHAnsi" w:cstheme="majorHAnsi"/>
          <w:b/>
          <w:bCs/>
          <w:sz w:val="20"/>
          <w:szCs w:val="20"/>
        </w:rPr>
        <w:t>Overview</w:t>
      </w:r>
    </w:p>
    <w:p w14:paraId="306E02AA" w14:textId="77777777" w:rsidR="005D5654" w:rsidRDefault="005D5654" w:rsidP="009B4170">
      <w:pPr>
        <w:autoSpaceDE w:val="0"/>
        <w:autoSpaceDN w:val="0"/>
        <w:spacing w:after="0" w:line="240" w:lineRule="auto"/>
        <w:rPr>
          <w:rFonts w:asciiTheme="majorHAnsi" w:hAnsiTheme="majorHAnsi" w:cstheme="majorHAnsi"/>
          <w:bCs/>
          <w:sz w:val="20"/>
          <w:szCs w:val="20"/>
        </w:rPr>
      </w:pPr>
    </w:p>
    <w:p w14:paraId="20F10A6D" w14:textId="6B2974AD" w:rsidR="00C565BB" w:rsidRPr="007F4A2B" w:rsidRDefault="009B4170" w:rsidP="009B4170">
      <w:pPr>
        <w:autoSpaceDE w:val="0"/>
        <w:autoSpaceDN w:val="0"/>
        <w:spacing w:after="0" w:line="240" w:lineRule="auto"/>
        <w:rPr>
          <w:rFonts w:asciiTheme="majorHAnsi" w:hAnsiTheme="majorHAnsi" w:cstheme="majorHAnsi"/>
          <w:sz w:val="20"/>
          <w:szCs w:val="20"/>
        </w:rPr>
      </w:pPr>
      <w:r w:rsidRPr="007F4A2B">
        <w:rPr>
          <w:rFonts w:asciiTheme="majorHAnsi" w:hAnsiTheme="majorHAnsi" w:cstheme="majorHAnsi"/>
          <w:bCs/>
          <w:sz w:val="20"/>
          <w:szCs w:val="20"/>
        </w:rPr>
        <w:t xml:space="preserve">All </w:t>
      </w:r>
      <w:r w:rsidR="005A0E09" w:rsidRPr="007F4A2B">
        <w:rPr>
          <w:rFonts w:asciiTheme="majorHAnsi" w:hAnsiTheme="majorHAnsi" w:cstheme="majorHAnsi"/>
          <w:bCs/>
          <w:sz w:val="20"/>
          <w:szCs w:val="20"/>
        </w:rPr>
        <w:t xml:space="preserve">PGT </w:t>
      </w:r>
      <w:r w:rsidRPr="007F4A2B">
        <w:rPr>
          <w:rFonts w:asciiTheme="majorHAnsi" w:hAnsiTheme="majorHAnsi" w:cstheme="majorHAnsi"/>
          <w:sz w:val="20"/>
          <w:szCs w:val="20"/>
        </w:rPr>
        <w:t>s</w:t>
      </w:r>
      <w:r w:rsidR="00F24A89" w:rsidRPr="007F4A2B">
        <w:rPr>
          <w:rFonts w:asciiTheme="majorHAnsi" w:hAnsiTheme="majorHAnsi" w:cstheme="majorHAnsi"/>
          <w:sz w:val="20"/>
          <w:szCs w:val="20"/>
        </w:rPr>
        <w:t xml:space="preserve">tudents </w:t>
      </w:r>
      <w:r w:rsidRPr="007F4A2B">
        <w:rPr>
          <w:rFonts w:asciiTheme="majorHAnsi" w:hAnsiTheme="majorHAnsi" w:cstheme="majorHAnsi"/>
          <w:sz w:val="20"/>
          <w:szCs w:val="20"/>
        </w:rPr>
        <w:t xml:space="preserve">have the option of selecting </w:t>
      </w:r>
      <w:r w:rsidR="00AD47AE" w:rsidRPr="007F4A2B">
        <w:rPr>
          <w:rFonts w:asciiTheme="majorHAnsi" w:hAnsiTheme="majorHAnsi" w:cstheme="majorHAnsi"/>
          <w:sz w:val="20"/>
          <w:szCs w:val="20"/>
        </w:rPr>
        <w:t>‘non-law’</w:t>
      </w:r>
      <w:r w:rsidRPr="007F4A2B">
        <w:rPr>
          <w:rFonts w:asciiTheme="majorHAnsi" w:hAnsiTheme="majorHAnsi" w:cstheme="majorHAnsi"/>
          <w:sz w:val="20"/>
          <w:szCs w:val="20"/>
        </w:rPr>
        <w:t xml:space="preserve"> modules – that is to say, modules taught </w:t>
      </w:r>
      <w:r w:rsidR="00113519" w:rsidRPr="007F4A2B">
        <w:rPr>
          <w:rFonts w:asciiTheme="majorHAnsi" w:hAnsiTheme="majorHAnsi" w:cstheme="majorHAnsi"/>
          <w:sz w:val="20"/>
          <w:szCs w:val="20"/>
        </w:rPr>
        <w:t>in other departments belonging to Newcastle University</w:t>
      </w:r>
      <w:r w:rsidR="00EE382A" w:rsidRPr="007F4A2B">
        <w:rPr>
          <w:rFonts w:asciiTheme="majorHAnsi" w:hAnsiTheme="majorHAnsi" w:cstheme="majorHAnsi"/>
          <w:sz w:val="20"/>
          <w:szCs w:val="20"/>
        </w:rPr>
        <w:t xml:space="preserve"> – </w:t>
      </w:r>
      <w:r w:rsidR="00F24A89" w:rsidRPr="007F4A2B">
        <w:rPr>
          <w:rFonts w:asciiTheme="majorHAnsi" w:hAnsiTheme="majorHAnsi" w:cstheme="majorHAnsi"/>
          <w:sz w:val="20"/>
          <w:szCs w:val="20"/>
        </w:rPr>
        <w:t xml:space="preserve">subject to </w:t>
      </w:r>
      <w:r w:rsidRPr="007F4A2B">
        <w:rPr>
          <w:rFonts w:asciiTheme="majorHAnsi" w:hAnsiTheme="majorHAnsi" w:cstheme="majorHAnsi"/>
          <w:sz w:val="20"/>
          <w:szCs w:val="20"/>
        </w:rPr>
        <w:t xml:space="preserve">the </w:t>
      </w:r>
      <w:r w:rsidR="00F24A89" w:rsidRPr="007F4A2B">
        <w:rPr>
          <w:rFonts w:asciiTheme="majorHAnsi" w:hAnsiTheme="majorHAnsi" w:cstheme="majorHAnsi"/>
          <w:sz w:val="20"/>
          <w:szCs w:val="20"/>
        </w:rPr>
        <w:t>approval</w:t>
      </w:r>
      <w:r w:rsidRPr="007F4A2B">
        <w:rPr>
          <w:rFonts w:asciiTheme="majorHAnsi" w:hAnsiTheme="majorHAnsi" w:cstheme="majorHAnsi"/>
          <w:sz w:val="20"/>
          <w:szCs w:val="20"/>
        </w:rPr>
        <w:t xml:space="preserve"> of </w:t>
      </w:r>
      <w:r w:rsidR="00EE382A" w:rsidRPr="007F4A2B">
        <w:rPr>
          <w:rFonts w:asciiTheme="majorHAnsi" w:hAnsiTheme="majorHAnsi" w:cstheme="majorHAnsi"/>
          <w:sz w:val="20"/>
          <w:szCs w:val="20"/>
        </w:rPr>
        <w:t>the Degree Programme Director Team</w:t>
      </w:r>
      <w:r w:rsidR="00F24A89" w:rsidRPr="007F4A2B">
        <w:rPr>
          <w:rFonts w:asciiTheme="majorHAnsi" w:hAnsiTheme="majorHAnsi" w:cstheme="majorHAnsi"/>
          <w:sz w:val="20"/>
          <w:szCs w:val="20"/>
        </w:rPr>
        <w:t>.</w:t>
      </w:r>
      <w:r w:rsidRPr="007F4A2B">
        <w:rPr>
          <w:rFonts w:asciiTheme="majorHAnsi" w:hAnsiTheme="majorHAnsi" w:cstheme="majorHAnsi"/>
          <w:sz w:val="20"/>
          <w:szCs w:val="20"/>
        </w:rPr>
        <w:t xml:space="preserve"> </w:t>
      </w:r>
      <w:r w:rsidR="005A0E09" w:rsidRPr="007F4A2B">
        <w:rPr>
          <w:rFonts w:asciiTheme="majorHAnsi" w:hAnsiTheme="majorHAnsi" w:cstheme="majorHAnsi"/>
          <w:sz w:val="20"/>
          <w:szCs w:val="20"/>
        </w:rPr>
        <w:t>The policy for approval is as follows.</w:t>
      </w:r>
      <w:r w:rsidRPr="007F4A2B">
        <w:rPr>
          <w:rFonts w:asciiTheme="majorHAnsi" w:hAnsiTheme="majorHAnsi" w:cstheme="majorHAnsi"/>
          <w:sz w:val="20"/>
          <w:szCs w:val="20"/>
        </w:rPr>
        <w:t xml:space="preserve"> </w:t>
      </w:r>
    </w:p>
    <w:p w14:paraId="5A29C7FF" w14:textId="77777777" w:rsidR="00C565BB" w:rsidRPr="007F4A2B" w:rsidRDefault="00C565BB" w:rsidP="009B4170">
      <w:pPr>
        <w:autoSpaceDE w:val="0"/>
        <w:autoSpaceDN w:val="0"/>
        <w:spacing w:after="0" w:line="240" w:lineRule="auto"/>
        <w:rPr>
          <w:rFonts w:asciiTheme="majorHAnsi" w:hAnsiTheme="majorHAnsi" w:cstheme="majorHAnsi"/>
          <w:sz w:val="20"/>
          <w:szCs w:val="20"/>
        </w:rPr>
      </w:pPr>
    </w:p>
    <w:p w14:paraId="0FEA57A8" w14:textId="73705C0A" w:rsidR="00F24A89" w:rsidRPr="007F4A2B" w:rsidRDefault="005A0E09" w:rsidP="00C565BB">
      <w:pPr>
        <w:autoSpaceDE w:val="0"/>
        <w:autoSpaceDN w:val="0"/>
        <w:spacing w:after="0" w:line="240" w:lineRule="auto"/>
        <w:rPr>
          <w:rFonts w:asciiTheme="majorHAnsi" w:hAnsiTheme="majorHAnsi" w:cstheme="majorHAnsi"/>
          <w:sz w:val="20"/>
          <w:szCs w:val="20"/>
        </w:rPr>
      </w:pPr>
      <w:r w:rsidRPr="007F4A2B">
        <w:rPr>
          <w:rFonts w:asciiTheme="majorHAnsi" w:hAnsiTheme="majorHAnsi" w:cstheme="majorHAnsi"/>
          <w:sz w:val="20"/>
          <w:szCs w:val="20"/>
        </w:rPr>
        <w:t>N</w:t>
      </w:r>
      <w:r w:rsidR="00AD47AE" w:rsidRPr="007F4A2B">
        <w:rPr>
          <w:rFonts w:asciiTheme="majorHAnsi" w:hAnsiTheme="majorHAnsi" w:cstheme="majorHAnsi"/>
          <w:sz w:val="20"/>
          <w:szCs w:val="20"/>
        </w:rPr>
        <w:t>on-law</w:t>
      </w:r>
      <w:r w:rsidR="009B4170" w:rsidRPr="007F4A2B">
        <w:rPr>
          <w:rFonts w:asciiTheme="majorHAnsi" w:hAnsiTheme="majorHAnsi" w:cstheme="majorHAnsi"/>
          <w:sz w:val="20"/>
          <w:szCs w:val="20"/>
        </w:rPr>
        <w:t xml:space="preserve"> modules </w:t>
      </w:r>
      <w:r w:rsidR="00EE382A" w:rsidRPr="007F4A2B">
        <w:rPr>
          <w:rFonts w:asciiTheme="majorHAnsi" w:hAnsiTheme="majorHAnsi" w:cstheme="majorHAnsi"/>
          <w:sz w:val="20"/>
          <w:szCs w:val="20"/>
        </w:rPr>
        <w:t>selection</w:t>
      </w:r>
      <w:r w:rsidR="00AD47AE" w:rsidRPr="007F4A2B">
        <w:rPr>
          <w:rFonts w:asciiTheme="majorHAnsi" w:hAnsiTheme="majorHAnsi" w:cstheme="majorHAnsi"/>
          <w:sz w:val="20"/>
          <w:szCs w:val="20"/>
        </w:rPr>
        <w:t>s</w:t>
      </w:r>
      <w:r w:rsidR="00EE382A" w:rsidRPr="007F4A2B">
        <w:rPr>
          <w:rFonts w:asciiTheme="majorHAnsi" w:hAnsiTheme="majorHAnsi" w:cstheme="majorHAnsi"/>
          <w:sz w:val="20"/>
          <w:szCs w:val="20"/>
        </w:rPr>
        <w:t xml:space="preserve"> </w:t>
      </w:r>
      <w:r w:rsidR="009B4170" w:rsidRPr="007F4A2B">
        <w:rPr>
          <w:rFonts w:asciiTheme="majorHAnsi" w:hAnsiTheme="majorHAnsi" w:cstheme="majorHAnsi"/>
          <w:sz w:val="20"/>
          <w:szCs w:val="20"/>
        </w:rPr>
        <w:t xml:space="preserve">will only be approved if </w:t>
      </w:r>
      <w:r w:rsidR="00404624" w:rsidRPr="007F4A2B">
        <w:rPr>
          <w:rFonts w:asciiTheme="majorHAnsi" w:hAnsiTheme="majorHAnsi" w:cstheme="majorHAnsi"/>
          <w:sz w:val="20"/>
          <w:szCs w:val="20"/>
        </w:rPr>
        <w:t>(1</w:t>
      </w:r>
      <w:r w:rsidR="00EE382A" w:rsidRPr="007F4A2B">
        <w:rPr>
          <w:rFonts w:asciiTheme="majorHAnsi" w:hAnsiTheme="majorHAnsi" w:cstheme="majorHAnsi"/>
          <w:sz w:val="20"/>
          <w:szCs w:val="20"/>
        </w:rPr>
        <w:t>) the modules</w:t>
      </w:r>
      <w:r w:rsidR="009B4170" w:rsidRPr="007F4A2B">
        <w:rPr>
          <w:rFonts w:asciiTheme="majorHAnsi" w:hAnsiTheme="majorHAnsi" w:cstheme="majorHAnsi"/>
          <w:sz w:val="20"/>
          <w:szCs w:val="20"/>
        </w:rPr>
        <w:t xml:space="preserve"> are </w:t>
      </w:r>
      <w:r w:rsidR="00EE382A" w:rsidRPr="007F4A2B">
        <w:rPr>
          <w:rFonts w:asciiTheme="majorHAnsi" w:hAnsiTheme="majorHAnsi" w:cstheme="majorHAnsi"/>
          <w:sz w:val="20"/>
          <w:szCs w:val="20"/>
        </w:rPr>
        <w:t>comparable to Law School modules in terms of their substance (e.g. on academic rigour, credit volume</w:t>
      </w:r>
      <w:r w:rsidR="00404624" w:rsidRPr="007F4A2B">
        <w:rPr>
          <w:rFonts w:asciiTheme="majorHAnsi" w:hAnsiTheme="majorHAnsi" w:cstheme="majorHAnsi"/>
          <w:sz w:val="20"/>
          <w:szCs w:val="20"/>
        </w:rPr>
        <w:t xml:space="preserve"> and assessment mechanisms</w:t>
      </w:r>
      <w:r w:rsidR="0014561A" w:rsidRPr="007F4A2B">
        <w:rPr>
          <w:rFonts w:asciiTheme="majorHAnsi" w:hAnsiTheme="majorHAnsi" w:cstheme="majorHAnsi"/>
          <w:sz w:val="20"/>
          <w:szCs w:val="20"/>
        </w:rPr>
        <w:t>)</w:t>
      </w:r>
      <w:r w:rsidR="00404624" w:rsidRPr="007F4A2B">
        <w:rPr>
          <w:rFonts w:asciiTheme="majorHAnsi" w:hAnsiTheme="majorHAnsi" w:cstheme="majorHAnsi"/>
          <w:sz w:val="20"/>
          <w:szCs w:val="20"/>
        </w:rPr>
        <w:t>; (2</w:t>
      </w:r>
      <w:r w:rsidR="00EE382A" w:rsidRPr="007F4A2B">
        <w:rPr>
          <w:rFonts w:asciiTheme="majorHAnsi" w:hAnsiTheme="majorHAnsi" w:cstheme="majorHAnsi"/>
          <w:sz w:val="20"/>
          <w:szCs w:val="20"/>
        </w:rPr>
        <w:t xml:space="preserve">) the selection works in </w:t>
      </w:r>
      <w:r w:rsidR="00404624" w:rsidRPr="007F4A2B">
        <w:rPr>
          <w:rFonts w:asciiTheme="majorHAnsi" w:hAnsiTheme="majorHAnsi" w:cstheme="majorHAnsi"/>
          <w:sz w:val="20"/>
          <w:szCs w:val="20"/>
        </w:rPr>
        <w:t>procedural</w:t>
      </w:r>
      <w:r w:rsidR="00EE382A" w:rsidRPr="007F4A2B">
        <w:rPr>
          <w:rFonts w:asciiTheme="majorHAnsi" w:hAnsiTheme="majorHAnsi" w:cstheme="majorHAnsi"/>
          <w:sz w:val="20"/>
          <w:szCs w:val="20"/>
        </w:rPr>
        <w:t xml:space="preserve"> terms (e.g. </w:t>
      </w:r>
      <w:r w:rsidR="000572B2" w:rsidRPr="007F4A2B">
        <w:rPr>
          <w:rFonts w:asciiTheme="majorHAnsi" w:hAnsiTheme="majorHAnsi" w:cstheme="majorHAnsi"/>
          <w:sz w:val="20"/>
          <w:szCs w:val="20"/>
        </w:rPr>
        <w:t xml:space="preserve">module leader permission, </w:t>
      </w:r>
      <w:r w:rsidR="00EE382A" w:rsidRPr="007F4A2B">
        <w:rPr>
          <w:rFonts w:asciiTheme="majorHAnsi" w:hAnsiTheme="majorHAnsi" w:cstheme="majorHAnsi"/>
          <w:sz w:val="20"/>
          <w:szCs w:val="20"/>
        </w:rPr>
        <w:t>prerequisites, timetablin</w:t>
      </w:r>
      <w:r w:rsidR="00404624" w:rsidRPr="007F4A2B">
        <w:rPr>
          <w:rFonts w:asciiTheme="majorHAnsi" w:hAnsiTheme="majorHAnsi" w:cstheme="majorHAnsi"/>
          <w:sz w:val="20"/>
          <w:szCs w:val="20"/>
        </w:rPr>
        <w:t>g and credit balancing</w:t>
      </w:r>
      <w:r w:rsidR="002176B8" w:rsidRPr="007F4A2B">
        <w:rPr>
          <w:rFonts w:asciiTheme="majorHAnsi" w:hAnsiTheme="majorHAnsi" w:cstheme="majorHAnsi"/>
          <w:sz w:val="20"/>
          <w:szCs w:val="20"/>
        </w:rPr>
        <w:t xml:space="preserve"> – see module selection form</w:t>
      </w:r>
      <w:r w:rsidR="00404624" w:rsidRPr="007F4A2B">
        <w:rPr>
          <w:rFonts w:asciiTheme="majorHAnsi" w:hAnsiTheme="majorHAnsi" w:cstheme="majorHAnsi"/>
          <w:sz w:val="20"/>
          <w:szCs w:val="20"/>
        </w:rPr>
        <w:t>) and (3</w:t>
      </w:r>
      <w:r w:rsidR="00EE382A" w:rsidRPr="007F4A2B">
        <w:rPr>
          <w:rFonts w:asciiTheme="majorHAnsi" w:hAnsiTheme="majorHAnsi" w:cstheme="majorHAnsi"/>
          <w:sz w:val="20"/>
          <w:szCs w:val="20"/>
        </w:rPr>
        <w:t xml:space="preserve">) the applicant has complied with the </w:t>
      </w:r>
      <w:r w:rsidR="000572B2" w:rsidRPr="007F4A2B">
        <w:rPr>
          <w:rFonts w:asciiTheme="majorHAnsi" w:hAnsiTheme="majorHAnsi" w:cstheme="majorHAnsi"/>
          <w:sz w:val="20"/>
          <w:szCs w:val="20"/>
        </w:rPr>
        <w:t>process</w:t>
      </w:r>
      <w:r w:rsidR="00EE382A" w:rsidRPr="007F4A2B">
        <w:rPr>
          <w:rFonts w:asciiTheme="majorHAnsi" w:hAnsiTheme="majorHAnsi" w:cstheme="majorHAnsi"/>
          <w:sz w:val="20"/>
          <w:szCs w:val="20"/>
        </w:rPr>
        <w:t xml:space="preserve"> for selecting </w:t>
      </w:r>
      <w:r w:rsidR="00AD47AE" w:rsidRPr="007F4A2B">
        <w:rPr>
          <w:rFonts w:asciiTheme="majorHAnsi" w:hAnsiTheme="majorHAnsi" w:cstheme="majorHAnsi"/>
          <w:sz w:val="20"/>
          <w:szCs w:val="20"/>
        </w:rPr>
        <w:t>non-law</w:t>
      </w:r>
      <w:r w:rsidR="00EE382A" w:rsidRPr="007F4A2B">
        <w:rPr>
          <w:rFonts w:asciiTheme="majorHAnsi" w:hAnsiTheme="majorHAnsi" w:cstheme="majorHAnsi"/>
          <w:sz w:val="20"/>
          <w:szCs w:val="20"/>
        </w:rPr>
        <w:t xml:space="preserve"> modules.</w:t>
      </w:r>
      <w:r w:rsidR="00404624" w:rsidRPr="007F4A2B">
        <w:rPr>
          <w:rFonts w:asciiTheme="majorHAnsi" w:hAnsiTheme="majorHAnsi" w:cstheme="majorHAnsi"/>
          <w:sz w:val="20"/>
          <w:szCs w:val="20"/>
        </w:rPr>
        <w:t xml:space="preserve"> See headings 1, 2 and 3 below respectively for more detail.  </w:t>
      </w:r>
    </w:p>
    <w:p w14:paraId="2C318F97" w14:textId="77777777" w:rsidR="009B4170" w:rsidRPr="007F4A2B" w:rsidRDefault="009B4170" w:rsidP="009B4170">
      <w:pPr>
        <w:autoSpaceDE w:val="0"/>
        <w:autoSpaceDN w:val="0"/>
        <w:spacing w:after="0" w:line="240" w:lineRule="auto"/>
        <w:rPr>
          <w:rFonts w:asciiTheme="majorHAnsi" w:hAnsiTheme="majorHAnsi" w:cstheme="majorHAnsi"/>
          <w:sz w:val="20"/>
          <w:szCs w:val="20"/>
        </w:rPr>
      </w:pPr>
    </w:p>
    <w:p w14:paraId="7C15CB69" w14:textId="77777777" w:rsidR="005D5654" w:rsidRDefault="009B4170" w:rsidP="005A0E09">
      <w:pPr>
        <w:rPr>
          <w:rFonts w:asciiTheme="majorHAnsi" w:hAnsiTheme="majorHAnsi" w:cstheme="majorHAnsi"/>
          <w:b/>
          <w:sz w:val="20"/>
          <w:szCs w:val="20"/>
        </w:rPr>
      </w:pPr>
      <w:r w:rsidRPr="007F4A2B">
        <w:rPr>
          <w:rFonts w:asciiTheme="majorHAnsi" w:hAnsiTheme="majorHAnsi" w:cstheme="majorHAnsi"/>
          <w:b/>
          <w:sz w:val="20"/>
          <w:szCs w:val="20"/>
        </w:rPr>
        <w:t>Rationale</w:t>
      </w:r>
    </w:p>
    <w:p w14:paraId="6F0CE8B8" w14:textId="5094EB5A" w:rsidR="009B4170" w:rsidRPr="005D5654" w:rsidRDefault="005A0E09" w:rsidP="005A0E09">
      <w:pPr>
        <w:rPr>
          <w:rFonts w:asciiTheme="majorHAnsi" w:hAnsiTheme="majorHAnsi" w:cstheme="majorHAnsi"/>
          <w:b/>
          <w:sz w:val="20"/>
          <w:szCs w:val="20"/>
        </w:rPr>
      </w:pPr>
      <w:r w:rsidRPr="007F4A2B">
        <w:rPr>
          <w:rFonts w:asciiTheme="majorHAnsi" w:hAnsiTheme="majorHAnsi" w:cstheme="majorHAnsi"/>
          <w:sz w:val="20"/>
          <w:szCs w:val="20"/>
        </w:rPr>
        <w:t xml:space="preserve">Many students come on to the taught LLM from other discipline backgrounds and may wish to continue with some aspects of prior learning, or they may wish to combine the study of legal subjects with other complementary subjects for future career purposes, or because of interest, or because they want a more rounded, </w:t>
      </w:r>
      <w:proofErr w:type="gramStart"/>
      <w:r w:rsidRPr="007F4A2B">
        <w:rPr>
          <w:rFonts w:asciiTheme="majorHAnsi" w:hAnsiTheme="majorHAnsi" w:cstheme="majorHAnsi"/>
          <w:sz w:val="20"/>
          <w:szCs w:val="20"/>
        </w:rPr>
        <w:t>interdisciplinary  post</w:t>
      </w:r>
      <w:proofErr w:type="gramEnd"/>
      <w:r w:rsidRPr="007F4A2B">
        <w:rPr>
          <w:rFonts w:asciiTheme="majorHAnsi" w:hAnsiTheme="majorHAnsi" w:cstheme="majorHAnsi"/>
          <w:sz w:val="20"/>
          <w:szCs w:val="20"/>
        </w:rPr>
        <w:t xml:space="preserve">-graduate experience. </w:t>
      </w:r>
      <w:r w:rsidR="009B4170" w:rsidRPr="007F4A2B">
        <w:rPr>
          <w:rFonts w:asciiTheme="majorHAnsi" w:hAnsiTheme="majorHAnsi" w:cstheme="majorHAnsi"/>
          <w:sz w:val="20"/>
          <w:szCs w:val="20"/>
        </w:rPr>
        <w:t xml:space="preserve"> </w:t>
      </w:r>
      <w:r w:rsidRPr="007F4A2B">
        <w:rPr>
          <w:rFonts w:asciiTheme="majorHAnsi" w:hAnsiTheme="majorHAnsi" w:cstheme="majorHAnsi"/>
          <w:sz w:val="20"/>
          <w:szCs w:val="20"/>
        </w:rPr>
        <w:t>All of these are sound and positive reasons for wanted to combine non-law modules into the master’s programme of study</w:t>
      </w:r>
      <w:r w:rsidR="002176B8" w:rsidRPr="007F4A2B">
        <w:rPr>
          <w:rFonts w:asciiTheme="majorHAnsi" w:hAnsiTheme="majorHAnsi" w:cstheme="majorHAnsi"/>
          <w:sz w:val="20"/>
          <w:szCs w:val="20"/>
        </w:rPr>
        <w:t xml:space="preserve"> and we encourage interdisciplinary study</w:t>
      </w:r>
      <w:r w:rsidRPr="007F4A2B">
        <w:rPr>
          <w:rFonts w:asciiTheme="majorHAnsi" w:hAnsiTheme="majorHAnsi" w:cstheme="majorHAnsi"/>
          <w:sz w:val="20"/>
          <w:szCs w:val="20"/>
        </w:rPr>
        <w:t>.</w:t>
      </w:r>
    </w:p>
    <w:p w14:paraId="5D48CF48" w14:textId="77777777" w:rsidR="00F24A89" w:rsidRPr="007F4A2B" w:rsidRDefault="00F24A89" w:rsidP="00F24A89">
      <w:pPr>
        <w:autoSpaceDE w:val="0"/>
        <w:autoSpaceDN w:val="0"/>
        <w:spacing w:after="0" w:line="240" w:lineRule="auto"/>
        <w:jc w:val="both"/>
        <w:rPr>
          <w:rFonts w:asciiTheme="majorHAnsi" w:hAnsiTheme="majorHAnsi" w:cstheme="majorHAnsi"/>
          <w:sz w:val="20"/>
          <w:szCs w:val="20"/>
        </w:rPr>
      </w:pPr>
    </w:p>
    <w:p w14:paraId="4D44E17C" w14:textId="0DD8F3D8" w:rsidR="00F24A89" w:rsidRPr="007F4A2B" w:rsidRDefault="00404624" w:rsidP="00F24A89">
      <w:pPr>
        <w:autoSpaceDE w:val="0"/>
        <w:autoSpaceDN w:val="0"/>
        <w:spacing w:after="0" w:line="240" w:lineRule="auto"/>
        <w:jc w:val="both"/>
        <w:rPr>
          <w:rFonts w:asciiTheme="majorHAnsi" w:hAnsiTheme="majorHAnsi" w:cstheme="majorHAnsi"/>
          <w:b/>
          <w:sz w:val="20"/>
          <w:szCs w:val="20"/>
        </w:rPr>
      </w:pPr>
      <w:r w:rsidRPr="007F4A2B">
        <w:rPr>
          <w:rFonts w:asciiTheme="majorHAnsi" w:hAnsiTheme="majorHAnsi" w:cstheme="majorHAnsi"/>
          <w:b/>
          <w:sz w:val="20"/>
          <w:szCs w:val="20"/>
        </w:rPr>
        <w:t>1</w:t>
      </w:r>
      <w:r w:rsidR="003F21AB" w:rsidRPr="007F4A2B">
        <w:rPr>
          <w:rFonts w:asciiTheme="majorHAnsi" w:hAnsiTheme="majorHAnsi" w:cstheme="majorHAnsi"/>
          <w:b/>
          <w:sz w:val="20"/>
          <w:szCs w:val="20"/>
        </w:rPr>
        <w:t>.</w:t>
      </w:r>
      <w:r w:rsidR="003F21AB" w:rsidRPr="007F4A2B">
        <w:rPr>
          <w:rFonts w:asciiTheme="majorHAnsi" w:hAnsiTheme="majorHAnsi" w:cstheme="majorHAnsi"/>
          <w:b/>
          <w:sz w:val="20"/>
          <w:szCs w:val="20"/>
        </w:rPr>
        <w:tab/>
      </w:r>
      <w:r w:rsidRPr="007F4A2B">
        <w:rPr>
          <w:rFonts w:asciiTheme="majorHAnsi" w:hAnsiTheme="majorHAnsi" w:cstheme="majorHAnsi"/>
          <w:b/>
          <w:sz w:val="20"/>
          <w:szCs w:val="20"/>
        </w:rPr>
        <w:t xml:space="preserve">Substantive </w:t>
      </w:r>
      <w:r w:rsidR="00F63CB0" w:rsidRPr="007F4A2B">
        <w:rPr>
          <w:rFonts w:asciiTheme="majorHAnsi" w:hAnsiTheme="majorHAnsi" w:cstheme="majorHAnsi"/>
          <w:b/>
          <w:sz w:val="20"/>
          <w:szCs w:val="20"/>
        </w:rPr>
        <w:t xml:space="preserve">Comparability to </w:t>
      </w:r>
      <w:r w:rsidRPr="007F4A2B">
        <w:rPr>
          <w:rFonts w:asciiTheme="majorHAnsi" w:hAnsiTheme="majorHAnsi" w:cstheme="majorHAnsi"/>
          <w:b/>
          <w:sz w:val="20"/>
          <w:szCs w:val="20"/>
        </w:rPr>
        <w:t>Law M</w:t>
      </w:r>
      <w:r w:rsidR="00F63CB0" w:rsidRPr="007F4A2B">
        <w:rPr>
          <w:rFonts w:asciiTheme="majorHAnsi" w:hAnsiTheme="majorHAnsi" w:cstheme="majorHAnsi"/>
          <w:b/>
          <w:sz w:val="20"/>
          <w:szCs w:val="20"/>
        </w:rPr>
        <w:t>odules</w:t>
      </w:r>
    </w:p>
    <w:p w14:paraId="0E34AE5E" w14:textId="31206C3D" w:rsidR="003F21AB" w:rsidRPr="007F4A2B" w:rsidRDefault="003F21AB" w:rsidP="003F21AB">
      <w:pPr>
        <w:autoSpaceDE w:val="0"/>
        <w:autoSpaceDN w:val="0"/>
        <w:spacing w:after="0" w:line="240" w:lineRule="auto"/>
        <w:jc w:val="both"/>
        <w:rPr>
          <w:rFonts w:asciiTheme="majorHAnsi" w:hAnsiTheme="majorHAnsi" w:cstheme="majorHAnsi"/>
          <w:b/>
          <w:sz w:val="20"/>
          <w:szCs w:val="20"/>
        </w:rPr>
      </w:pPr>
    </w:p>
    <w:p w14:paraId="4F05D2DA" w14:textId="081CFD94" w:rsidR="00641217" w:rsidRPr="007F4A2B" w:rsidRDefault="000572B2" w:rsidP="0030552C">
      <w:pPr>
        <w:autoSpaceDE w:val="0"/>
        <w:autoSpaceDN w:val="0"/>
        <w:spacing w:after="0" w:line="240" w:lineRule="auto"/>
        <w:jc w:val="both"/>
        <w:rPr>
          <w:rFonts w:asciiTheme="majorHAnsi" w:hAnsiTheme="majorHAnsi" w:cstheme="majorHAnsi"/>
          <w:i/>
          <w:sz w:val="20"/>
          <w:szCs w:val="20"/>
        </w:rPr>
      </w:pPr>
      <w:r w:rsidRPr="007F4A2B">
        <w:rPr>
          <w:rFonts w:asciiTheme="majorHAnsi" w:hAnsiTheme="majorHAnsi" w:cstheme="majorHAnsi"/>
          <w:i/>
          <w:sz w:val="20"/>
          <w:szCs w:val="20"/>
        </w:rPr>
        <w:t>(a</w:t>
      </w:r>
      <w:r w:rsidR="0030552C" w:rsidRPr="007F4A2B">
        <w:rPr>
          <w:rFonts w:asciiTheme="majorHAnsi" w:hAnsiTheme="majorHAnsi" w:cstheme="majorHAnsi"/>
          <w:i/>
          <w:sz w:val="20"/>
          <w:szCs w:val="20"/>
        </w:rPr>
        <w:t>)</w:t>
      </w:r>
      <w:r w:rsidR="0030552C" w:rsidRPr="007F4A2B">
        <w:rPr>
          <w:rFonts w:asciiTheme="majorHAnsi" w:hAnsiTheme="majorHAnsi" w:cstheme="majorHAnsi"/>
          <w:i/>
          <w:sz w:val="20"/>
          <w:szCs w:val="20"/>
        </w:rPr>
        <w:tab/>
      </w:r>
      <w:r w:rsidR="003F21AB" w:rsidRPr="007F4A2B">
        <w:rPr>
          <w:rFonts w:asciiTheme="majorHAnsi" w:hAnsiTheme="majorHAnsi" w:cstheme="majorHAnsi"/>
          <w:i/>
          <w:sz w:val="20"/>
          <w:szCs w:val="20"/>
        </w:rPr>
        <w:t>Level</w:t>
      </w:r>
    </w:p>
    <w:p w14:paraId="0230546C" w14:textId="455E8DF2" w:rsidR="00641217" w:rsidRPr="007F4A2B" w:rsidRDefault="003F21AB" w:rsidP="0030552C">
      <w:pPr>
        <w:autoSpaceDE w:val="0"/>
        <w:autoSpaceDN w:val="0"/>
        <w:spacing w:after="0" w:line="240" w:lineRule="auto"/>
        <w:jc w:val="both"/>
        <w:rPr>
          <w:rFonts w:asciiTheme="majorHAnsi" w:hAnsiTheme="majorHAnsi" w:cstheme="majorHAnsi"/>
          <w:sz w:val="20"/>
          <w:szCs w:val="20"/>
        </w:rPr>
      </w:pPr>
      <w:r w:rsidRPr="007F4A2B">
        <w:rPr>
          <w:rFonts w:asciiTheme="majorHAnsi" w:hAnsiTheme="majorHAnsi" w:cstheme="majorHAnsi"/>
          <w:sz w:val="20"/>
          <w:szCs w:val="20"/>
        </w:rPr>
        <w:t xml:space="preserve">Non-law modules must be </w:t>
      </w:r>
      <w:r w:rsidR="005A0E09" w:rsidRPr="007F4A2B">
        <w:rPr>
          <w:rFonts w:asciiTheme="majorHAnsi" w:hAnsiTheme="majorHAnsi" w:cstheme="majorHAnsi"/>
          <w:sz w:val="20"/>
          <w:szCs w:val="20"/>
        </w:rPr>
        <w:t xml:space="preserve">of a comparable </w:t>
      </w:r>
      <w:r w:rsidRPr="007F4A2B">
        <w:rPr>
          <w:rFonts w:asciiTheme="majorHAnsi" w:hAnsiTheme="majorHAnsi" w:cstheme="majorHAnsi"/>
          <w:sz w:val="20"/>
          <w:szCs w:val="20"/>
        </w:rPr>
        <w:t xml:space="preserve">FHEQ level </w:t>
      </w:r>
      <w:proofErr w:type="spellStart"/>
      <w:proofErr w:type="gramStart"/>
      <w:r w:rsidR="005A0E09" w:rsidRPr="007F4A2B">
        <w:rPr>
          <w:rFonts w:asciiTheme="majorHAnsi" w:hAnsiTheme="majorHAnsi" w:cstheme="majorHAnsi"/>
          <w:sz w:val="20"/>
          <w:szCs w:val="20"/>
        </w:rPr>
        <w:t>ie</w:t>
      </w:r>
      <w:proofErr w:type="spellEnd"/>
      <w:proofErr w:type="gramEnd"/>
      <w:r w:rsidR="005A0E09" w:rsidRPr="007F4A2B">
        <w:rPr>
          <w:rFonts w:asciiTheme="majorHAnsi" w:hAnsiTheme="majorHAnsi" w:cstheme="majorHAnsi"/>
          <w:sz w:val="20"/>
          <w:szCs w:val="20"/>
        </w:rPr>
        <w:t xml:space="preserve"> offered at post-graduate level for a degree</w:t>
      </w:r>
      <w:r w:rsidR="002176B8" w:rsidRPr="007F4A2B">
        <w:rPr>
          <w:rFonts w:asciiTheme="majorHAnsi" w:hAnsiTheme="majorHAnsi" w:cstheme="majorHAnsi"/>
          <w:sz w:val="20"/>
          <w:szCs w:val="20"/>
        </w:rPr>
        <w:t>, usually indicated by module number 8XXX</w:t>
      </w:r>
    </w:p>
    <w:p w14:paraId="2A28F401" w14:textId="77777777" w:rsidR="00641217" w:rsidRPr="007F4A2B" w:rsidRDefault="00641217" w:rsidP="0030552C">
      <w:pPr>
        <w:autoSpaceDE w:val="0"/>
        <w:autoSpaceDN w:val="0"/>
        <w:spacing w:after="0" w:line="240" w:lineRule="auto"/>
        <w:jc w:val="both"/>
        <w:rPr>
          <w:rFonts w:asciiTheme="majorHAnsi" w:hAnsiTheme="majorHAnsi" w:cstheme="majorHAnsi"/>
          <w:i/>
          <w:sz w:val="20"/>
          <w:szCs w:val="20"/>
        </w:rPr>
      </w:pPr>
    </w:p>
    <w:p w14:paraId="22954B2D" w14:textId="5B38C79E" w:rsidR="003F21AB" w:rsidRPr="007F4A2B" w:rsidRDefault="000572B2" w:rsidP="003F21AB">
      <w:pPr>
        <w:autoSpaceDE w:val="0"/>
        <w:autoSpaceDN w:val="0"/>
        <w:spacing w:after="0" w:line="240" w:lineRule="auto"/>
        <w:jc w:val="both"/>
        <w:rPr>
          <w:rFonts w:asciiTheme="majorHAnsi" w:hAnsiTheme="majorHAnsi" w:cstheme="majorHAnsi"/>
          <w:i/>
          <w:sz w:val="20"/>
          <w:szCs w:val="20"/>
        </w:rPr>
      </w:pPr>
      <w:r w:rsidRPr="007F4A2B">
        <w:rPr>
          <w:rFonts w:asciiTheme="majorHAnsi" w:hAnsiTheme="majorHAnsi" w:cstheme="majorHAnsi"/>
          <w:i/>
          <w:sz w:val="20"/>
          <w:szCs w:val="20"/>
        </w:rPr>
        <w:t>(b</w:t>
      </w:r>
      <w:r w:rsidR="0030552C" w:rsidRPr="007F4A2B">
        <w:rPr>
          <w:rFonts w:asciiTheme="majorHAnsi" w:hAnsiTheme="majorHAnsi" w:cstheme="majorHAnsi"/>
          <w:i/>
          <w:sz w:val="20"/>
          <w:szCs w:val="20"/>
        </w:rPr>
        <w:t>)</w:t>
      </w:r>
      <w:r w:rsidR="0030552C" w:rsidRPr="007F4A2B">
        <w:rPr>
          <w:rFonts w:asciiTheme="majorHAnsi" w:hAnsiTheme="majorHAnsi" w:cstheme="majorHAnsi"/>
          <w:i/>
          <w:sz w:val="20"/>
          <w:szCs w:val="20"/>
        </w:rPr>
        <w:tab/>
      </w:r>
      <w:r w:rsidR="003F21AB" w:rsidRPr="007F4A2B">
        <w:rPr>
          <w:rFonts w:asciiTheme="majorHAnsi" w:hAnsiTheme="majorHAnsi" w:cstheme="majorHAnsi"/>
          <w:i/>
          <w:sz w:val="20"/>
          <w:szCs w:val="20"/>
        </w:rPr>
        <w:t>Weight</w:t>
      </w:r>
    </w:p>
    <w:p w14:paraId="5471C608" w14:textId="77AEB2E4" w:rsidR="003F21AB" w:rsidRPr="007F4A2B" w:rsidRDefault="003F21AB" w:rsidP="0030552C">
      <w:pPr>
        <w:rPr>
          <w:rFonts w:asciiTheme="majorHAnsi" w:hAnsiTheme="majorHAnsi" w:cstheme="majorHAnsi"/>
          <w:sz w:val="20"/>
          <w:szCs w:val="20"/>
        </w:rPr>
      </w:pPr>
      <w:r w:rsidRPr="007F4A2B">
        <w:rPr>
          <w:rFonts w:asciiTheme="majorHAnsi" w:hAnsiTheme="majorHAnsi" w:cstheme="majorHAnsi"/>
          <w:sz w:val="20"/>
          <w:szCs w:val="20"/>
        </w:rPr>
        <w:t xml:space="preserve">Non-law modules must be of similar weight to law modules </w:t>
      </w:r>
      <w:r w:rsidR="0030552C" w:rsidRPr="007F4A2B">
        <w:rPr>
          <w:rFonts w:asciiTheme="majorHAnsi" w:hAnsiTheme="majorHAnsi" w:cstheme="majorHAnsi"/>
          <w:sz w:val="20"/>
          <w:szCs w:val="20"/>
        </w:rPr>
        <w:t xml:space="preserve">carrying an equivalent number </w:t>
      </w:r>
      <w:r w:rsidRPr="007F4A2B">
        <w:rPr>
          <w:rFonts w:asciiTheme="majorHAnsi" w:hAnsiTheme="majorHAnsi" w:cstheme="majorHAnsi"/>
          <w:sz w:val="20"/>
          <w:szCs w:val="20"/>
        </w:rPr>
        <w:t>of credits</w:t>
      </w:r>
      <w:r w:rsidR="005A0E09" w:rsidRPr="007F4A2B">
        <w:rPr>
          <w:rFonts w:asciiTheme="majorHAnsi" w:hAnsiTheme="majorHAnsi" w:cstheme="majorHAnsi"/>
          <w:sz w:val="20"/>
          <w:szCs w:val="20"/>
        </w:rPr>
        <w:t xml:space="preserve"> </w:t>
      </w:r>
      <w:proofErr w:type="spellStart"/>
      <w:proofErr w:type="gramStart"/>
      <w:r w:rsidR="005A0E09" w:rsidRPr="007F4A2B">
        <w:rPr>
          <w:rFonts w:asciiTheme="majorHAnsi" w:hAnsiTheme="majorHAnsi" w:cstheme="majorHAnsi"/>
          <w:sz w:val="20"/>
          <w:szCs w:val="20"/>
        </w:rPr>
        <w:t>ie</w:t>
      </w:r>
      <w:proofErr w:type="spellEnd"/>
      <w:proofErr w:type="gramEnd"/>
      <w:r w:rsidR="005A0E09" w:rsidRPr="007F4A2B">
        <w:rPr>
          <w:rFonts w:asciiTheme="majorHAnsi" w:hAnsiTheme="majorHAnsi" w:cstheme="majorHAnsi"/>
          <w:sz w:val="20"/>
          <w:szCs w:val="20"/>
        </w:rPr>
        <w:t xml:space="preserve"> 20 credits.</w:t>
      </w:r>
      <w:r w:rsidRPr="007F4A2B">
        <w:rPr>
          <w:rFonts w:asciiTheme="majorHAnsi" w:hAnsiTheme="majorHAnsi" w:cstheme="majorHAnsi"/>
          <w:sz w:val="20"/>
          <w:szCs w:val="20"/>
        </w:rPr>
        <w:t xml:space="preserve"> </w:t>
      </w:r>
    </w:p>
    <w:p w14:paraId="0A5AB0E6" w14:textId="2C4EE2B9" w:rsidR="003F21AB" w:rsidRPr="007F4A2B" w:rsidRDefault="000572B2" w:rsidP="001D7C9C">
      <w:pPr>
        <w:autoSpaceDE w:val="0"/>
        <w:autoSpaceDN w:val="0"/>
        <w:spacing w:after="0" w:line="240" w:lineRule="auto"/>
        <w:jc w:val="both"/>
        <w:rPr>
          <w:rFonts w:asciiTheme="majorHAnsi" w:hAnsiTheme="majorHAnsi" w:cstheme="majorHAnsi"/>
          <w:i/>
          <w:sz w:val="20"/>
          <w:szCs w:val="20"/>
        </w:rPr>
      </w:pPr>
      <w:r w:rsidRPr="007F4A2B">
        <w:rPr>
          <w:rFonts w:asciiTheme="majorHAnsi" w:hAnsiTheme="majorHAnsi" w:cstheme="majorHAnsi"/>
          <w:i/>
          <w:iCs/>
          <w:sz w:val="20"/>
          <w:szCs w:val="20"/>
        </w:rPr>
        <w:t>(c</w:t>
      </w:r>
      <w:r w:rsidR="0030552C" w:rsidRPr="007F4A2B">
        <w:rPr>
          <w:rFonts w:asciiTheme="majorHAnsi" w:hAnsiTheme="majorHAnsi" w:cstheme="majorHAnsi"/>
          <w:i/>
          <w:iCs/>
          <w:sz w:val="20"/>
          <w:szCs w:val="20"/>
        </w:rPr>
        <w:t>)</w:t>
      </w:r>
      <w:r w:rsidR="0030552C" w:rsidRPr="007F4A2B">
        <w:rPr>
          <w:rFonts w:asciiTheme="majorHAnsi" w:hAnsiTheme="majorHAnsi" w:cstheme="majorHAnsi"/>
          <w:i/>
          <w:iCs/>
          <w:sz w:val="20"/>
          <w:szCs w:val="20"/>
        </w:rPr>
        <w:tab/>
      </w:r>
      <w:r w:rsidR="003F21AB" w:rsidRPr="007F4A2B">
        <w:rPr>
          <w:rFonts w:asciiTheme="majorHAnsi" w:hAnsiTheme="majorHAnsi" w:cstheme="majorHAnsi"/>
          <w:i/>
          <w:sz w:val="20"/>
          <w:szCs w:val="20"/>
        </w:rPr>
        <w:t>Assessment</w:t>
      </w:r>
    </w:p>
    <w:p w14:paraId="637CD3A2" w14:textId="4AFC171B" w:rsidR="003F21AB" w:rsidRPr="007F4A2B" w:rsidRDefault="003F21AB" w:rsidP="0030552C">
      <w:pPr>
        <w:rPr>
          <w:rFonts w:asciiTheme="majorHAnsi" w:hAnsiTheme="majorHAnsi" w:cstheme="majorHAnsi"/>
          <w:sz w:val="20"/>
          <w:szCs w:val="20"/>
        </w:rPr>
      </w:pPr>
      <w:r w:rsidRPr="007F4A2B">
        <w:rPr>
          <w:rFonts w:asciiTheme="majorHAnsi" w:hAnsiTheme="majorHAnsi" w:cstheme="majorHAnsi"/>
          <w:sz w:val="20"/>
          <w:szCs w:val="20"/>
        </w:rPr>
        <w:t xml:space="preserve">The </w:t>
      </w:r>
      <w:r w:rsidR="00D9437C" w:rsidRPr="007F4A2B">
        <w:rPr>
          <w:rFonts w:asciiTheme="majorHAnsi" w:hAnsiTheme="majorHAnsi" w:cstheme="majorHAnsi"/>
          <w:sz w:val="20"/>
          <w:szCs w:val="20"/>
        </w:rPr>
        <w:t xml:space="preserve">Law School </w:t>
      </w:r>
      <w:r w:rsidRPr="007F4A2B">
        <w:rPr>
          <w:rFonts w:asciiTheme="majorHAnsi" w:hAnsiTheme="majorHAnsi" w:cstheme="majorHAnsi"/>
          <w:sz w:val="20"/>
          <w:szCs w:val="20"/>
        </w:rPr>
        <w:t>has discretion to determine which assessment methods are comparable to law assessment methods.</w:t>
      </w:r>
      <w:r w:rsidR="0005691C" w:rsidRPr="007F4A2B">
        <w:rPr>
          <w:rFonts w:asciiTheme="majorHAnsi" w:hAnsiTheme="majorHAnsi" w:cstheme="majorHAnsi"/>
          <w:sz w:val="20"/>
          <w:szCs w:val="20"/>
        </w:rPr>
        <w:t xml:space="preserve"> </w:t>
      </w:r>
    </w:p>
    <w:p w14:paraId="0AA68521" w14:textId="77777777" w:rsidR="000572B2" w:rsidRPr="007F4A2B" w:rsidRDefault="000572B2" w:rsidP="0030552C">
      <w:pPr>
        <w:autoSpaceDE w:val="0"/>
        <w:autoSpaceDN w:val="0"/>
        <w:spacing w:after="0" w:line="240" w:lineRule="auto"/>
        <w:jc w:val="both"/>
        <w:rPr>
          <w:rFonts w:asciiTheme="majorHAnsi" w:hAnsiTheme="majorHAnsi" w:cstheme="majorHAnsi"/>
          <w:sz w:val="20"/>
          <w:szCs w:val="20"/>
        </w:rPr>
      </w:pPr>
    </w:p>
    <w:p w14:paraId="7852922D" w14:textId="283205AA" w:rsidR="0030552C" w:rsidRPr="007F4A2B" w:rsidRDefault="000572B2" w:rsidP="0030552C">
      <w:pPr>
        <w:autoSpaceDE w:val="0"/>
        <w:autoSpaceDN w:val="0"/>
        <w:spacing w:after="0" w:line="240" w:lineRule="auto"/>
        <w:jc w:val="both"/>
        <w:rPr>
          <w:rFonts w:asciiTheme="majorHAnsi" w:hAnsiTheme="majorHAnsi" w:cstheme="majorHAnsi"/>
          <w:b/>
          <w:sz w:val="20"/>
          <w:szCs w:val="20"/>
        </w:rPr>
      </w:pPr>
      <w:r w:rsidRPr="007F4A2B">
        <w:rPr>
          <w:rFonts w:asciiTheme="majorHAnsi" w:hAnsiTheme="majorHAnsi" w:cstheme="majorHAnsi"/>
          <w:b/>
          <w:sz w:val="20"/>
          <w:szCs w:val="20"/>
        </w:rPr>
        <w:t>2</w:t>
      </w:r>
      <w:r w:rsidR="0030552C" w:rsidRPr="007F4A2B">
        <w:rPr>
          <w:rFonts w:asciiTheme="majorHAnsi" w:hAnsiTheme="majorHAnsi" w:cstheme="majorHAnsi"/>
          <w:b/>
          <w:sz w:val="20"/>
          <w:szCs w:val="20"/>
        </w:rPr>
        <w:t>.</w:t>
      </w:r>
      <w:r w:rsidR="0030552C" w:rsidRPr="007F4A2B">
        <w:rPr>
          <w:rFonts w:asciiTheme="majorHAnsi" w:hAnsiTheme="majorHAnsi" w:cstheme="majorHAnsi"/>
          <w:b/>
          <w:sz w:val="20"/>
          <w:szCs w:val="20"/>
        </w:rPr>
        <w:tab/>
      </w:r>
      <w:r w:rsidR="00404624" w:rsidRPr="007F4A2B">
        <w:rPr>
          <w:rFonts w:asciiTheme="majorHAnsi" w:hAnsiTheme="majorHAnsi" w:cstheme="majorHAnsi"/>
          <w:b/>
          <w:sz w:val="20"/>
          <w:szCs w:val="20"/>
        </w:rPr>
        <w:t>Procedural R</w:t>
      </w:r>
      <w:r w:rsidR="0030552C" w:rsidRPr="007F4A2B">
        <w:rPr>
          <w:rFonts w:asciiTheme="majorHAnsi" w:hAnsiTheme="majorHAnsi" w:cstheme="majorHAnsi"/>
          <w:b/>
          <w:sz w:val="20"/>
          <w:szCs w:val="20"/>
        </w:rPr>
        <w:t>equirements</w:t>
      </w:r>
    </w:p>
    <w:p w14:paraId="12BEB512" w14:textId="04CA238A" w:rsidR="0030552C" w:rsidRPr="007F4A2B" w:rsidRDefault="0030552C" w:rsidP="003F21AB">
      <w:pPr>
        <w:autoSpaceDE w:val="0"/>
        <w:autoSpaceDN w:val="0"/>
        <w:spacing w:after="0" w:line="240" w:lineRule="auto"/>
        <w:jc w:val="both"/>
        <w:rPr>
          <w:rFonts w:asciiTheme="majorHAnsi" w:hAnsiTheme="majorHAnsi" w:cstheme="majorHAnsi"/>
          <w:i/>
          <w:iCs/>
          <w:sz w:val="20"/>
          <w:szCs w:val="20"/>
        </w:rPr>
      </w:pPr>
    </w:p>
    <w:p w14:paraId="67F292BE" w14:textId="695CA361" w:rsidR="000572B2" w:rsidRPr="007F4A2B" w:rsidRDefault="000572B2" w:rsidP="000572B2">
      <w:pPr>
        <w:autoSpaceDE w:val="0"/>
        <w:autoSpaceDN w:val="0"/>
        <w:spacing w:after="0" w:line="240" w:lineRule="auto"/>
        <w:jc w:val="both"/>
        <w:rPr>
          <w:rFonts w:asciiTheme="majorHAnsi" w:hAnsiTheme="majorHAnsi" w:cstheme="majorHAnsi"/>
          <w:i/>
          <w:iCs/>
          <w:sz w:val="20"/>
          <w:szCs w:val="20"/>
        </w:rPr>
      </w:pPr>
      <w:r w:rsidRPr="007F4A2B">
        <w:rPr>
          <w:rFonts w:asciiTheme="majorHAnsi" w:hAnsiTheme="majorHAnsi" w:cstheme="majorHAnsi"/>
          <w:i/>
          <w:iCs/>
          <w:sz w:val="20"/>
          <w:szCs w:val="20"/>
        </w:rPr>
        <w:t xml:space="preserve">(a) </w:t>
      </w:r>
      <w:r w:rsidRPr="007F4A2B">
        <w:rPr>
          <w:rFonts w:asciiTheme="majorHAnsi" w:hAnsiTheme="majorHAnsi" w:cstheme="majorHAnsi"/>
          <w:i/>
          <w:iCs/>
          <w:sz w:val="20"/>
          <w:szCs w:val="20"/>
        </w:rPr>
        <w:tab/>
        <w:t>Permission</w:t>
      </w:r>
    </w:p>
    <w:p w14:paraId="5FF46733" w14:textId="557C7154" w:rsidR="000572B2" w:rsidRPr="007F4A2B" w:rsidRDefault="000572B2" w:rsidP="000572B2">
      <w:pPr>
        <w:autoSpaceDE w:val="0"/>
        <w:autoSpaceDN w:val="0"/>
        <w:spacing w:after="0" w:line="240" w:lineRule="auto"/>
        <w:jc w:val="both"/>
        <w:rPr>
          <w:rFonts w:asciiTheme="majorHAnsi" w:hAnsiTheme="majorHAnsi" w:cstheme="majorHAnsi"/>
          <w:sz w:val="20"/>
          <w:szCs w:val="20"/>
        </w:rPr>
      </w:pPr>
      <w:r w:rsidRPr="007F4A2B">
        <w:rPr>
          <w:rFonts w:asciiTheme="majorHAnsi" w:hAnsiTheme="majorHAnsi" w:cstheme="majorHAnsi"/>
          <w:sz w:val="20"/>
          <w:szCs w:val="20"/>
        </w:rPr>
        <w:t xml:space="preserve">Students must seek the prior approval of the Module Leader for each non-law module they wish to join.  </w:t>
      </w:r>
      <w:r w:rsidR="006A53FB" w:rsidRPr="007F4A2B">
        <w:rPr>
          <w:rFonts w:asciiTheme="majorHAnsi" w:hAnsiTheme="majorHAnsi" w:cstheme="majorHAnsi"/>
          <w:sz w:val="20"/>
          <w:szCs w:val="20"/>
        </w:rPr>
        <w:t xml:space="preserve">Written evidence of </w:t>
      </w:r>
      <w:r w:rsidRPr="007F4A2B">
        <w:rPr>
          <w:rFonts w:asciiTheme="majorHAnsi" w:hAnsiTheme="majorHAnsi" w:cstheme="majorHAnsi"/>
          <w:sz w:val="20"/>
          <w:szCs w:val="20"/>
        </w:rPr>
        <w:t xml:space="preserve">Module Leader approval </w:t>
      </w:r>
      <w:r w:rsidR="006A53FB" w:rsidRPr="007F4A2B">
        <w:rPr>
          <w:rFonts w:asciiTheme="majorHAnsi" w:hAnsiTheme="majorHAnsi" w:cstheme="majorHAnsi"/>
          <w:sz w:val="20"/>
          <w:szCs w:val="20"/>
        </w:rPr>
        <w:t>must be kept (usually an email) so that it can be attached to the application form.  Students must also</w:t>
      </w:r>
      <w:r w:rsidRPr="007F4A2B">
        <w:rPr>
          <w:rFonts w:asciiTheme="majorHAnsi" w:hAnsiTheme="majorHAnsi" w:cstheme="majorHAnsi"/>
          <w:sz w:val="20"/>
          <w:szCs w:val="20"/>
        </w:rPr>
        <w:t xml:space="preserve"> seek Law</w:t>
      </w:r>
      <w:r w:rsidRPr="007F4A2B">
        <w:rPr>
          <w:rFonts w:asciiTheme="majorHAnsi" w:hAnsiTheme="majorHAnsi" w:cstheme="majorHAnsi"/>
          <w:b/>
          <w:sz w:val="20"/>
          <w:szCs w:val="20"/>
        </w:rPr>
        <w:t xml:space="preserve"> </w:t>
      </w:r>
      <w:r w:rsidRPr="007F4A2B">
        <w:rPr>
          <w:rFonts w:asciiTheme="majorHAnsi" w:hAnsiTheme="majorHAnsi" w:cstheme="majorHAnsi"/>
          <w:sz w:val="20"/>
          <w:szCs w:val="20"/>
        </w:rPr>
        <w:t>School approval (granted by</w:t>
      </w:r>
      <w:r w:rsidR="005A0E09" w:rsidRPr="007F4A2B">
        <w:rPr>
          <w:rFonts w:asciiTheme="majorHAnsi" w:hAnsiTheme="majorHAnsi" w:cstheme="majorHAnsi"/>
          <w:sz w:val="20"/>
          <w:szCs w:val="20"/>
        </w:rPr>
        <w:t xml:space="preserve"> the PGT D</w:t>
      </w:r>
      <w:r w:rsidR="00235C57" w:rsidRPr="007F4A2B">
        <w:rPr>
          <w:rFonts w:asciiTheme="majorHAnsi" w:hAnsiTheme="majorHAnsi" w:cstheme="majorHAnsi"/>
          <w:sz w:val="20"/>
          <w:szCs w:val="20"/>
        </w:rPr>
        <w:t>egree Programme Director</w:t>
      </w:r>
      <w:r w:rsidRPr="007F4A2B">
        <w:rPr>
          <w:rFonts w:asciiTheme="majorHAnsi" w:hAnsiTheme="majorHAnsi" w:cstheme="majorHAnsi"/>
          <w:sz w:val="20"/>
          <w:szCs w:val="20"/>
        </w:rPr>
        <w:t xml:space="preserve">) before taking a </w:t>
      </w:r>
      <w:r w:rsidR="006A53FB" w:rsidRPr="007F4A2B">
        <w:rPr>
          <w:rFonts w:asciiTheme="majorHAnsi" w:hAnsiTheme="majorHAnsi" w:cstheme="majorHAnsi"/>
          <w:sz w:val="20"/>
          <w:szCs w:val="20"/>
        </w:rPr>
        <w:t xml:space="preserve">particular </w:t>
      </w:r>
      <w:r w:rsidRPr="007F4A2B">
        <w:rPr>
          <w:rFonts w:asciiTheme="majorHAnsi" w:hAnsiTheme="majorHAnsi" w:cstheme="majorHAnsi"/>
          <w:sz w:val="20"/>
          <w:szCs w:val="20"/>
        </w:rPr>
        <w:t>non-law</w:t>
      </w:r>
      <w:r w:rsidR="00746058" w:rsidRPr="007F4A2B">
        <w:rPr>
          <w:rFonts w:asciiTheme="majorHAnsi" w:hAnsiTheme="majorHAnsi" w:cstheme="majorHAnsi"/>
          <w:sz w:val="20"/>
          <w:szCs w:val="20"/>
        </w:rPr>
        <w:t xml:space="preserve"> module.  </w:t>
      </w:r>
      <w:r w:rsidRPr="007F4A2B">
        <w:rPr>
          <w:rFonts w:asciiTheme="majorHAnsi" w:hAnsiTheme="majorHAnsi" w:cstheme="majorHAnsi"/>
          <w:sz w:val="20"/>
          <w:szCs w:val="20"/>
        </w:rPr>
        <w:t>The Law School does not maintain a list of pre-approved non-law modules</w:t>
      </w:r>
      <w:r w:rsidR="005A0E09" w:rsidRPr="007F4A2B">
        <w:rPr>
          <w:rFonts w:asciiTheme="majorHAnsi" w:hAnsiTheme="majorHAnsi" w:cstheme="majorHAnsi"/>
          <w:sz w:val="20"/>
          <w:szCs w:val="20"/>
        </w:rPr>
        <w:t xml:space="preserve">. </w:t>
      </w:r>
      <w:r w:rsidRPr="007F4A2B">
        <w:rPr>
          <w:rFonts w:asciiTheme="majorHAnsi" w:hAnsiTheme="majorHAnsi" w:cstheme="majorHAnsi"/>
          <w:sz w:val="20"/>
          <w:szCs w:val="20"/>
        </w:rPr>
        <w:t xml:space="preserve">Modules can change year on year, making it necessary to verify their suitability afresh each academic year. </w:t>
      </w:r>
    </w:p>
    <w:p w14:paraId="3E280A1C" w14:textId="77777777" w:rsidR="000572B2" w:rsidRPr="007F4A2B" w:rsidRDefault="000572B2" w:rsidP="000572B2">
      <w:pPr>
        <w:autoSpaceDE w:val="0"/>
        <w:autoSpaceDN w:val="0"/>
        <w:spacing w:after="0" w:line="240" w:lineRule="auto"/>
        <w:jc w:val="both"/>
        <w:rPr>
          <w:rFonts w:asciiTheme="majorHAnsi" w:hAnsiTheme="majorHAnsi" w:cstheme="majorHAnsi"/>
          <w:sz w:val="20"/>
          <w:szCs w:val="20"/>
        </w:rPr>
      </w:pPr>
    </w:p>
    <w:p w14:paraId="2118B44F" w14:textId="21F4A7B7" w:rsidR="000572B2" w:rsidRPr="007F4A2B" w:rsidRDefault="000572B2" w:rsidP="000572B2">
      <w:pPr>
        <w:autoSpaceDE w:val="0"/>
        <w:autoSpaceDN w:val="0"/>
        <w:spacing w:after="0" w:line="240" w:lineRule="auto"/>
        <w:jc w:val="both"/>
        <w:rPr>
          <w:rFonts w:asciiTheme="majorHAnsi" w:hAnsiTheme="majorHAnsi" w:cstheme="majorHAnsi"/>
          <w:sz w:val="20"/>
          <w:szCs w:val="20"/>
        </w:rPr>
      </w:pPr>
      <w:r w:rsidRPr="007F4A2B">
        <w:rPr>
          <w:rFonts w:asciiTheme="majorHAnsi" w:hAnsiTheme="majorHAnsi" w:cstheme="majorHAnsi"/>
          <w:sz w:val="20"/>
          <w:szCs w:val="20"/>
        </w:rPr>
        <w:t>The onus is on the student to carry out an initial self-assessment regarding the suitability of non-law modules</w:t>
      </w:r>
      <w:r w:rsidR="001D7C9C" w:rsidRPr="007F4A2B">
        <w:rPr>
          <w:rFonts w:asciiTheme="majorHAnsi" w:hAnsiTheme="majorHAnsi" w:cstheme="majorHAnsi"/>
          <w:sz w:val="20"/>
          <w:szCs w:val="20"/>
        </w:rPr>
        <w:t>.</w:t>
      </w:r>
    </w:p>
    <w:p w14:paraId="41D2EB66" w14:textId="77777777" w:rsidR="001D7C9C" w:rsidRPr="007F4A2B" w:rsidRDefault="001D7C9C" w:rsidP="000572B2">
      <w:pPr>
        <w:autoSpaceDE w:val="0"/>
        <w:autoSpaceDN w:val="0"/>
        <w:spacing w:after="0" w:line="240" w:lineRule="auto"/>
        <w:jc w:val="both"/>
        <w:rPr>
          <w:rFonts w:asciiTheme="majorHAnsi" w:hAnsiTheme="majorHAnsi" w:cstheme="majorHAnsi"/>
          <w:sz w:val="20"/>
          <w:szCs w:val="20"/>
        </w:rPr>
      </w:pPr>
    </w:p>
    <w:p w14:paraId="59C20DBE" w14:textId="77777777" w:rsidR="000572B2" w:rsidRPr="007F4A2B" w:rsidRDefault="000572B2" w:rsidP="003F21AB">
      <w:pPr>
        <w:autoSpaceDE w:val="0"/>
        <w:autoSpaceDN w:val="0"/>
        <w:spacing w:after="0" w:line="240" w:lineRule="auto"/>
        <w:jc w:val="both"/>
        <w:rPr>
          <w:rFonts w:asciiTheme="majorHAnsi" w:hAnsiTheme="majorHAnsi" w:cstheme="majorHAnsi"/>
          <w:i/>
          <w:iCs/>
          <w:sz w:val="20"/>
          <w:szCs w:val="20"/>
        </w:rPr>
      </w:pPr>
    </w:p>
    <w:p w14:paraId="4A6270E1" w14:textId="539D92AD" w:rsidR="003F21AB" w:rsidRPr="007F4A2B" w:rsidRDefault="000572B2" w:rsidP="003F21AB">
      <w:pPr>
        <w:autoSpaceDE w:val="0"/>
        <w:autoSpaceDN w:val="0"/>
        <w:spacing w:after="0" w:line="240" w:lineRule="auto"/>
        <w:jc w:val="both"/>
        <w:rPr>
          <w:rFonts w:asciiTheme="majorHAnsi" w:hAnsiTheme="majorHAnsi" w:cstheme="majorHAnsi"/>
          <w:i/>
          <w:iCs/>
          <w:sz w:val="20"/>
          <w:szCs w:val="20"/>
        </w:rPr>
      </w:pPr>
      <w:r w:rsidRPr="007F4A2B">
        <w:rPr>
          <w:rFonts w:asciiTheme="majorHAnsi" w:hAnsiTheme="majorHAnsi" w:cstheme="majorHAnsi"/>
          <w:i/>
          <w:iCs/>
          <w:sz w:val="20"/>
          <w:szCs w:val="20"/>
        </w:rPr>
        <w:t>(b</w:t>
      </w:r>
      <w:r w:rsidR="0030552C" w:rsidRPr="007F4A2B">
        <w:rPr>
          <w:rFonts w:asciiTheme="majorHAnsi" w:hAnsiTheme="majorHAnsi" w:cstheme="majorHAnsi"/>
          <w:i/>
          <w:iCs/>
          <w:sz w:val="20"/>
          <w:szCs w:val="20"/>
        </w:rPr>
        <w:t>)</w:t>
      </w:r>
      <w:r w:rsidR="0030552C" w:rsidRPr="007F4A2B">
        <w:rPr>
          <w:rFonts w:asciiTheme="majorHAnsi" w:hAnsiTheme="majorHAnsi" w:cstheme="majorHAnsi"/>
          <w:i/>
          <w:iCs/>
          <w:sz w:val="20"/>
          <w:szCs w:val="20"/>
        </w:rPr>
        <w:tab/>
      </w:r>
      <w:r w:rsidR="003F21AB" w:rsidRPr="007F4A2B">
        <w:rPr>
          <w:rFonts w:asciiTheme="majorHAnsi" w:hAnsiTheme="majorHAnsi" w:cstheme="majorHAnsi"/>
          <w:i/>
          <w:iCs/>
          <w:sz w:val="20"/>
          <w:szCs w:val="20"/>
        </w:rPr>
        <w:t>Prerequisites</w:t>
      </w:r>
    </w:p>
    <w:p w14:paraId="2E7733F0" w14:textId="69F9EB7B" w:rsidR="0005691C" w:rsidRPr="007F4A2B" w:rsidRDefault="003F21AB" w:rsidP="0030552C">
      <w:pPr>
        <w:autoSpaceDE w:val="0"/>
        <w:autoSpaceDN w:val="0"/>
        <w:spacing w:after="0" w:line="240" w:lineRule="auto"/>
        <w:jc w:val="both"/>
        <w:rPr>
          <w:rFonts w:asciiTheme="majorHAnsi" w:hAnsiTheme="majorHAnsi" w:cstheme="majorHAnsi"/>
          <w:sz w:val="20"/>
          <w:szCs w:val="20"/>
        </w:rPr>
      </w:pPr>
      <w:r w:rsidRPr="007F4A2B">
        <w:rPr>
          <w:rFonts w:asciiTheme="majorHAnsi" w:hAnsiTheme="majorHAnsi" w:cstheme="majorHAnsi"/>
          <w:sz w:val="20"/>
          <w:szCs w:val="20"/>
        </w:rPr>
        <w:t>Students are not usually allowed to take a module with pre-requisites they do not meet</w:t>
      </w:r>
      <w:r w:rsidR="001D7C9C" w:rsidRPr="007F4A2B">
        <w:rPr>
          <w:rFonts w:asciiTheme="majorHAnsi" w:hAnsiTheme="majorHAnsi" w:cstheme="majorHAnsi"/>
          <w:sz w:val="20"/>
          <w:szCs w:val="20"/>
        </w:rPr>
        <w:t xml:space="preserve">. </w:t>
      </w:r>
      <w:r w:rsidR="00D77C6A" w:rsidRPr="007F4A2B">
        <w:rPr>
          <w:rFonts w:asciiTheme="majorHAnsi" w:hAnsiTheme="majorHAnsi" w:cstheme="majorHAnsi"/>
          <w:sz w:val="20"/>
          <w:szCs w:val="20"/>
        </w:rPr>
        <w:t>The exception is where the Module L</w:t>
      </w:r>
      <w:r w:rsidRPr="007F4A2B">
        <w:rPr>
          <w:rFonts w:asciiTheme="majorHAnsi" w:hAnsiTheme="majorHAnsi" w:cstheme="majorHAnsi"/>
          <w:sz w:val="20"/>
          <w:szCs w:val="20"/>
        </w:rPr>
        <w:t>eader expressly consent</w:t>
      </w:r>
      <w:r w:rsidR="00D77C6A" w:rsidRPr="007F4A2B">
        <w:rPr>
          <w:rFonts w:asciiTheme="majorHAnsi" w:hAnsiTheme="majorHAnsi" w:cstheme="majorHAnsi"/>
          <w:sz w:val="20"/>
          <w:szCs w:val="20"/>
        </w:rPr>
        <w:t>s</w:t>
      </w:r>
      <w:r w:rsidRPr="007F4A2B">
        <w:rPr>
          <w:rFonts w:asciiTheme="majorHAnsi" w:hAnsiTheme="majorHAnsi" w:cstheme="majorHAnsi"/>
          <w:sz w:val="20"/>
          <w:szCs w:val="20"/>
        </w:rPr>
        <w:t xml:space="preserve"> to</w:t>
      </w:r>
      <w:r w:rsidR="00D77C6A" w:rsidRPr="007F4A2B">
        <w:rPr>
          <w:rFonts w:asciiTheme="majorHAnsi" w:hAnsiTheme="majorHAnsi" w:cstheme="majorHAnsi"/>
          <w:sz w:val="20"/>
          <w:szCs w:val="20"/>
        </w:rPr>
        <w:t xml:space="preserve"> waive the pre-requisite.  The Module L</w:t>
      </w:r>
      <w:r w:rsidRPr="007F4A2B">
        <w:rPr>
          <w:rFonts w:asciiTheme="majorHAnsi" w:hAnsiTheme="majorHAnsi" w:cstheme="majorHAnsi"/>
          <w:sz w:val="20"/>
          <w:szCs w:val="20"/>
        </w:rPr>
        <w:t>eader’s consent should be</w:t>
      </w:r>
      <w:r w:rsidR="00D77C6A" w:rsidRPr="007F4A2B">
        <w:rPr>
          <w:rFonts w:asciiTheme="majorHAnsi" w:hAnsiTheme="majorHAnsi" w:cstheme="majorHAnsi"/>
          <w:sz w:val="20"/>
          <w:szCs w:val="20"/>
        </w:rPr>
        <w:t xml:space="preserve"> attached to the Non-Law Module Approval Form when it is submitted to the Law School</w:t>
      </w:r>
      <w:r w:rsidRPr="007F4A2B">
        <w:rPr>
          <w:rFonts w:asciiTheme="majorHAnsi" w:hAnsiTheme="majorHAnsi" w:cstheme="majorHAnsi"/>
          <w:sz w:val="20"/>
          <w:szCs w:val="20"/>
        </w:rPr>
        <w:t xml:space="preserve">.  Students choosing to take a module </w:t>
      </w:r>
      <w:r w:rsidR="0030552C" w:rsidRPr="007F4A2B">
        <w:rPr>
          <w:rFonts w:asciiTheme="majorHAnsi" w:hAnsiTheme="majorHAnsi" w:cstheme="majorHAnsi"/>
          <w:sz w:val="20"/>
          <w:szCs w:val="20"/>
        </w:rPr>
        <w:t>on this basis do so at their own risk and should be aware of the risks of doing so.</w:t>
      </w:r>
      <w:r w:rsidR="0005691C" w:rsidRPr="007F4A2B">
        <w:rPr>
          <w:rFonts w:asciiTheme="majorHAnsi" w:hAnsiTheme="majorHAnsi" w:cstheme="majorHAnsi"/>
          <w:sz w:val="20"/>
          <w:szCs w:val="20"/>
        </w:rPr>
        <w:t xml:space="preserve">  </w:t>
      </w:r>
    </w:p>
    <w:p w14:paraId="42AF25FE" w14:textId="77777777" w:rsidR="0005691C" w:rsidRPr="007F4A2B" w:rsidRDefault="0005691C" w:rsidP="0030552C">
      <w:pPr>
        <w:autoSpaceDE w:val="0"/>
        <w:autoSpaceDN w:val="0"/>
        <w:spacing w:after="0" w:line="240" w:lineRule="auto"/>
        <w:jc w:val="both"/>
        <w:rPr>
          <w:rFonts w:asciiTheme="majorHAnsi" w:hAnsiTheme="majorHAnsi" w:cstheme="majorHAnsi"/>
          <w:sz w:val="20"/>
          <w:szCs w:val="20"/>
        </w:rPr>
      </w:pPr>
    </w:p>
    <w:p w14:paraId="6790FDF3" w14:textId="5FCE7206" w:rsidR="00641217" w:rsidRPr="007F4A2B" w:rsidRDefault="0005691C" w:rsidP="008A67EA">
      <w:pPr>
        <w:autoSpaceDE w:val="0"/>
        <w:autoSpaceDN w:val="0"/>
        <w:spacing w:after="0" w:line="240" w:lineRule="auto"/>
        <w:jc w:val="both"/>
        <w:rPr>
          <w:rFonts w:asciiTheme="majorHAnsi" w:hAnsiTheme="majorHAnsi" w:cstheme="majorHAnsi"/>
          <w:i/>
          <w:sz w:val="20"/>
          <w:szCs w:val="20"/>
        </w:rPr>
      </w:pPr>
      <w:r w:rsidRPr="007F4A2B">
        <w:rPr>
          <w:rFonts w:asciiTheme="majorHAnsi" w:hAnsiTheme="majorHAnsi" w:cstheme="majorHAnsi"/>
          <w:sz w:val="20"/>
          <w:szCs w:val="20"/>
        </w:rPr>
        <w:t xml:space="preserve">Not all modules list prerequisites.  However, there </w:t>
      </w:r>
      <w:r w:rsidR="001D7C9C" w:rsidRPr="007F4A2B">
        <w:rPr>
          <w:rFonts w:asciiTheme="majorHAnsi" w:hAnsiTheme="majorHAnsi" w:cstheme="majorHAnsi"/>
          <w:sz w:val="20"/>
          <w:szCs w:val="20"/>
        </w:rPr>
        <w:t xml:space="preserve">may </w:t>
      </w:r>
      <w:r w:rsidRPr="007F4A2B">
        <w:rPr>
          <w:rFonts w:asciiTheme="majorHAnsi" w:hAnsiTheme="majorHAnsi" w:cstheme="majorHAnsi"/>
          <w:sz w:val="20"/>
          <w:szCs w:val="20"/>
        </w:rPr>
        <w:t xml:space="preserve">still </w:t>
      </w:r>
      <w:r w:rsidR="001D7C9C" w:rsidRPr="007F4A2B">
        <w:rPr>
          <w:rFonts w:asciiTheme="majorHAnsi" w:hAnsiTheme="majorHAnsi" w:cstheme="majorHAnsi"/>
          <w:sz w:val="20"/>
          <w:szCs w:val="20"/>
        </w:rPr>
        <w:t xml:space="preserve">be </w:t>
      </w:r>
      <w:r w:rsidRPr="007F4A2B">
        <w:rPr>
          <w:rFonts w:asciiTheme="majorHAnsi" w:hAnsiTheme="majorHAnsi" w:cstheme="majorHAnsi"/>
          <w:sz w:val="20"/>
          <w:szCs w:val="20"/>
        </w:rPr>
        <w:t xml:space="preserve">challenges associated with taking </w:t>
      </w:r>
      <w:r w:rsidR="001D7C9C" w:rsidRPr="007F4A2B">
        <w:rPr>
          <w:rFonts w:asciiTheme="majorHAnsi" w:hAnsiTheme="majorHAnsi" w:cstheme="majorHAnsi"/>
          <w:sz w:val="20"/>
          <w:szCs w:val="20"/>
        </w:rPr>
        <w:t xml:space="preserve">a </w:t>
      </w:r>
      <w:r w:rsidRPr="007F4A2B">
        <w:rPr>
          <w:rFonts w:asciiTheme="majorHAnsi" w:hAnsiTheme="majorHAnsi" w:cstheme="majorHAnsi"/>
          <w:sz w:val="20"/>
          <w:szCs w:val="20"/>
        </w:rPr>
        <w:t xml:space="preserve">module </w:t>
      </w:r>
      <w:r w:rsidR="001D7C9C" w:rsidRPr="007F4A2B">
        <w:rPr>
          <w:rFonts w:asciiTheme="majorHAnsi" w:hAnsiTheme="majorHAnsi" w:cstheme="majorHAnsi"/>
          <w:sz w:val="20"/>
          <w:szCs w:val="20"/>
        </w:rPr>
        <w:t xml:space="preserve">at master’s level </w:t>
      </w:r>
      <w:r w:rsidRPr="007F4A2B">
        <w:rPr>
          <w:rFonts w:asciiTheme="majorHAnsi" w:hAnsiTheme="majorHAnsi" w:cstheme="majorHAnsi"/>
          <w:sz w:val="20"/>
          <w:szCs w:val="20"/>
        </w:rPr>
        <w:t>in a discipline where the student has no background</w:t>
      </w:r>
      <w:r w:rsidR="001D7C9C" w:rsidRPr="007F4A2B">
        <w:rPr>
          <w:rFonts w:asciiTheme="majorHAnsi" w:hAnsiTheme="majorHAnsi" w:cstheme="majorHAnsi"/>
          <w:sz w:val="20"/>
          <w:szCs w:val="20"/>
        </w:rPr>
        <w:t xml:space="preserve">. </w:t>
      </w:r>
      <w:r w:rsidR="00D77C6A" w:rsidRPr="007F4A2B">
        <w:rPr>
          <w:rFonts w:asciiTheme="majorHAnsi" w:hAnsiTheme="majorHAnsi" w:cstheme="majorHAnsi"/>
          <w:sz w:val="20"/>
          <w:szCs w:val="20"/>
        </w:rPr>
        <w:t>The forms of assessment in different schools may also be unfamiliar which can present its own difficulties</w:t>
      </w:r>
      <w:r w:rsidR="002176B8" w:rsidRPr="007F4A2B">
        <w:rPr>
          <w:rFonts w:asciiTheme="majorHAnsi" w:hAnsiTheme="majorHAnsi" w:cstheme="majorHAnsi"/>
          <w:sz w:val="20"/>
          <w:szCs w:val="20"/>
        </w:rPr>
        <w:t>; the language of the discipline may be different; and the focus may be geared towards meeting certain professional criteria</w:t>
      </w:r>
      <w:r w:rsidR="00D77C6A" w:rsidRPr="007F4A2B">
        <w:rPr>
          <w:rFonts w:asciiTheme="majorHAnsi" w:hAnsiTheme="majorHAnsi" w:cstheme="majorHAnsi"/>
          <w:sz w:val="20"/>
          <w:szCs w:val="20"/>
        </w:rPr>
        <w:t xml:space="preserve">.  </w:t>
      </w:r>
      <w:r w:rsidRPr="007F4A2B">
        <w:rPr>
          <w:rFonts w:asciiTheme="majorHAnsi" w:hAnsiTheme="majorHAnsi" w:cstheme="majorHAnsi"/>
          <w:sz w:val="20"/>
          <w:szCs w:val="20"/>
        </w:rPr>
        <w:t>Students s</w:t>
      </w:r>
      <w:r w:rsidR="00D77C6A" w:rsidRPr="007F4A2B">
        <w:rPr>
          <w:rFonts w:asciiTheme="majorHAnsi" w:hAnsiTheme="majorHAnsi" w:cstheme="majorHAnsi"/>
          <w:sz w:val="20"/>
          <w:szCs w:val="20"/>
        </w:rPr>
        <w:t>hould therefore speak with the Module L</w:t>
      </w:r>
      <w:r w:rsidRPr="007F4A2B">
        <w:rPr>
          <w:rFonts w:asciiTheme="majorHAnsi" w:hAnsiTheme="majorHAnsi" w:cstheme="majorHAnsi"/>
          <w:sz w:val="20"/>
          <w:szCs w:val="20"/>
        </w:rPr>
        <w:t>eader as early as possible</w:t>
      </w:r>
      <w:r w:rsidR="002176B8" w:rsidRPr="007F4A2B">
        <w:rPr>
          <w:rFonts w:asciiTheme="majorHAnsi" w:hAnsiTheme="majorHAnsi" w:cstheme="majorHAnsi"/>
          <w:sz w:val="20"/>
          <w:szCs w:val="20"/>
        </w:rPr>
        <w:t xml:space="preserve">. In this regard it can be useful to enquire if certain </w:t>
      </w:r>
      <w:r w:rsidRPr="007F4A2B">
        <w:rPr>
          <w:rFonts w:asciiTheme="majorHAnsi" w:hAnsiTheme="majorHAnsi" w:cstheme="majorHAnsi"/>
          <w:sz w:val="20"/>
          <w:szCs w:val="20"/>
        </w:rPr>
        <w:t xml:space="preserve">background reading </w:t>
      </w:r>
      <w:r w:rsidR="002176B8" w:rsidRPr="007F4A2B">
        <w:rPr>
          <w:rFonts w:asciiTheme="majorHAnsi" w:hAnsiTheme="majorHAnsi" w:cstheme="majorHAnsi"/>
          <w:sz w:val="20"/>
          <w:szCs w:val="20"/>
        </w:rPr>
        <w:t xml:space="preserve">should be undertaken prior to the start of the module. </w:t>
      </w:r>
    </w:p>
    <w:p w14:paraId="6C9D1353" w14:textId="77777777" w:rsidR="00641217" w:rsidRPr="007F4A2B" w:rsidRDefault="00641217" w:rsidP="008A67EA">
      <w:pPr>
        <w:autoSpaceDE w:val="0"/>
        <w:autoSpaceDN w:val="0"/>
        <w:spacing w:after="0" w:line="240" w:lineRule="auto"/>
        <w:jc w:val="both"/>
        <w:rPr>
          <w:rFonts w:asciiTheme="majorHAnsi" w:hAnsiTheme="majorHAnsi" w:cstheme="majorHAnsi"/>
          <w:i/>
          <w:sz w:val="20"/>
          <w:szCs w:val="20"/>
        </w:rPr>
      </w:pPr>
    </w:p>
    <w:p w14:paraId="57FB48C3" w14:textId="5F10E2E5" w:rsidR="0030552C" w:rsidRPr="007F4A2B" w:rsidRDefault="000572B2" w:rsidP="00F63CB0">
      <w:pPr>
        <w:autoSpaceDE w:val="0"/>
        <w:autoSpaceDN w:val="0"/>
        <w:spacing w:after="0" w:line="240" w:lineRule="auto"/>
        <w:jc w:val="both"/>
        <w:rPr>
          <w:rFonts w:asciiTheme="majorHAnsi" w:hAnsiTheme="majorHAnsi" w:cstheme="majorHAnsi"/>
          <w:i/>
          <w:sz w:val="20"/>
          <w:szCs w:val="20"/>
        </w:rPr>
      </w:pPr>
      <w:r w:rsidRPr="007F4A2B">
        <w:rPr>
          <w:rFonts w:asciiTheme="majorHAnsi" w:hAnsiTheme="majorHAnsi" w:cstheme="majorHAnsi"/>
          <w:i/>
          <w:sz w:val="20"/>
          <w:szCs w:val="20"/>
        </w:rPr>
        <w:t>(c</w:t>
      </w:r>
      <w:r w:rsidR="0030552C" w:rsidRPr="007F4A2B">
        <w:rPr>
          <w:rFonts w:asciiTheme="majorHAnsi" w:hAnsiTheme="majorHAnsi" w:cstheme="majorHAnsi"/>
          <w:i/>
          <w:sz w:val="20"/>
          <w:szCs w:val="20"/>
        </w:rPr>
        <w:t>)</w:t>
      </w:r>
      <w:r w:rsidR="0030552C" w:rsidRPr="007F4A2B">
        <w:rPr>
          <w:rFonts w:asciiTheme="majorHAnsi" w:hAnsiTheme="majorHAnsi" w:cstheme="majorHAnsi"/>
          <w:i/>
          <w:sz w:val="20"/>
          <w:szCs w:val="20"/>
        </w:rPr>
        <w:tab/>
      </w:r>
      <w:r w:rsidR="00F63CB0" w:rsidRPr="007F4A2B">
        <w:rPr>
          <w:rFonts w:asciiTheme="majorHAnsi" w:hAnsiTheme="majorHAnsi" w:cstheme="majorHAnsi"/>
          <w:i/>
          <w:sz w:val="20"/>
          <w:szCs w:val="20"/>
        </w:rPr>
        <w:t>Timetabling</w:t>
      </w:r>
    </w:p>
    <w:p w14:paraId="5E234445" w14:textId="59B32236" w:rsidR="003F21AB" w:rsidRPr="007F4A2B" w:rsidRDefault="00F63CB0" w:rsidP="0030552C">
      <w:pPr>
        <w:autoSpaceDE w:val="0"/>
        <w:autoSpaceDN w:val="0"/>
        <w:spacing w:after="0" w:line="240" w:lineRule="auto"/>
        <w:jc w:val="both"/>
        <w:rPr>
          <w:rFonts w:asciiTheme="majorHAnsi" w:hAnsiTheme="majorHAnsi" w:cstheme="majorHAnsi"/>
          <w:sz w:val="20"/>
          <w:szCs w:val="20"/>
        </w:rPr>
      </w:pPr>
      <w:r w:rsidRPr="007F4A2B">
        <w:rPr>
          <w:rFonts w:asciiTheme="majorHAnsi" w:hAnsiTheme="majorHAnsi" w:cstheme="majorHAnsi"/>
          <w:sz w:val="20"/>
          <w:szCs w:val="20"/>
        </w:rPr>
        <w:t xml:space="preserve">Students </w:t>
      </w:r>
      <w:r w:rsidR="00D77C6A" w:rsidRPr="007F4A2B">
        <w:rPr>
          <w:rFonts w:asciiTheme="majorHAnsi" w:hAnsiTheme="majorHAnsi" w:cstheme="majorHAnsi"/>
          <w:sz w:val="20"/>
          <w:szCs w:val="20"/>
        </w:rPr>
        <w:t>may not take a non-Law</w:t>
      </w:r>
      <w:r w:rsidRPr="007F4A2B">
        <w:rPr>
          <w:rFonts w:asciiTheme="majorHAnsi" w:hAnsiTheme="majorHAnsi" w:cstheme="majorHAnsi"/>
          <w:sz w:val="20"/>
          <w:szCs w:val="20"/>
        </w:rPr>
        <w:t xml:space="preserve"> module if there is a clash with a</w:t>
      </w:r>
      <w:r w:rsidR="00E8505F" w:rsidRPr="007F4A2B">
        <w:rPr>
          <w:rFonts w:asciiTheme="majorHAnsi" w:hAnsiTheme="majorHAnsi" w:cstheme="majorHAnsi"/>
          <w:sz w:val="20"/>
          <w:szCs w:val="20"/>
        </w:rPr>
        <w:t xml:space="preserve"> l</w:t>
      </w:r>
      <w:r w:rsidR="00D77C6A" w:rsidRPr="007F4A2B">
        <w:rPr>
          <w:rFonts w:asciiTheme="majorHAnsi" w:hAnsiTheme="majorHAnsi" w:cstheme="majorHAnsi"/>
          <w:sz w:val="20"/>
          <w:szCs w:val="20"/>
        </w:rPr>
        <w:t>aw</w:t>
      </w:r>
      <w:r w:rsidRPr="007F4A2B">
        <w:rPr>
          <w:rFonts w:asciiTheme="majorHAnsi" w:hAnsiTheme="majorHAnsi" w:cstheme="majorHAnsi"/>
          <w:sz w:val="20"/>
          <w:szCs w:val="20"/>
        </w:rPr>
        <w:t xml:space="preserve"> </w:t>
      </w:r>
      <w:r w:rsidR="00E8505F" w:rsidRPr="007F4A2B">
        <w:rPr>
          <w:rFonts w:asciiTheme="majorHAnsi" w:hAnsiTheme="majorHAnsi" w:cstheme="majorHAnsi"/>
          <w:sz w:val="20"/>
          <w:szCs w:val="20"/>
        </w:rPr>
        <w:t>module lecture</w:t>
      </w:r>
      <w:r w:rsidRPr="007F4A2B">
        <w:rPr>
          <w:rFonts w:asciiTheme="majorHAnsi" w:hAnsiTheme="majorHAnsi" w:cstheme="majorHAnsi"/>
          <w:sz w:val="20"/>
          <w:szCs w:val="20"/>
        </w:rPr>
        <w:t xml:space="preserve">. </w:t>
      </w:r>
      <w:r w:rsidR="0030552C" w:rsidRPr="007F4A2B">
        <w:rPr>
          <w:rFonts w:asciiTheme="majorHAnsi" w:hAnsiTheme="majorHAnsi" w:cstheme="majorHAnsi"/>
          <w:sz w:val="20"/>
          <w:szCs w:val="20"/>
        </w:rPr>
        <w:t xml:space="preserve">If there is a clash with a seminar group, the Law School will attempt to move a student to a non-clashing seminar group, but the student will only </w:t>
      </w:r>
      <w:r w:rsidR="00D77C6A" w:rsidRPr="007F4A2B">
        <w:rPr>
          <w:rFonts w:asciiTheme="majorHAnsi" w:hAnsiTheme="majorHAnsi" w:cstheme="majorHAnsi"/>
          <w:sz w:val="20"/>
          <w:szCs w:val="20"/>
        </w:rPr>
        <w:t>be permitted to take the non-Law</w:t>
      </w:r>
      <w:r w:rsidR="0030552C" w:rsidRPr="007F4A2B">
        <w:rPr>
          <w:rFonts w:asciiTheme="majorHAnsi" w:hAnsiTheme="majorHAnsi" w:cstheme="majorHAnsi"/>
          <w:sz w:val="20"/>
          <w:szCs w:val="20"/>
        </w:rPr>
        <w:t xml:space="preserve"> module if there are no clashes.</w:t>
      </w:r>
      <w:r w:rsidRPr="007F4A2B">
        <w:rPr>
          <w:rFonts w:asciiTheme="majorHAnsi" w:hAnsiTheme="majorHAnsi" w:cstheme="majorHAnsi"/>
          <w:sz w:val="20"/>
          <w:szCs w:val="20"/>
        </w:rPr>
        <w:t xml:space="preserve"> There is no exception to this rule. </w:t>
      </w:r>
      <w:r w:rsidR="00D77C6A" w:rsidRPr="007F4A2B">
        <w:rPr>
          <w:rFonts w:asciiTheme="majorHAnsi" w:hAnsiTheme="majorHAnsi" w:cstheme="majorHAnsi"/>
          <w:sz w:val="20"/>
          <w:szCs w:val="20"/>
        </w:rPr>
        <w:t xml:space="preserve"> It is</w:t>
      </w:r>
      <w:r w:rsidR="00792D70" w:rsidRPr="007F4A2B">
        <w:rPr>
          <w:rFonts w:asciiTheme="majorHAnsi" w:hAnsiTheme="majorHAnsi" w:cstheme="majorHAnsi"/>
          <w:sz w:val="20"/>
          <w:szCs w:val="20"/>
        </w:rPr>
        <w:t xml:space="preserve"> the responsibility of students</w:t>
      </w:r>
      <w:r w:rsidR="00D77C6A" w:rsidRPr="007F4A2B">
        <w:rPr>
          <w:rFonts w:asciiTheme="majorHAnsi" w:hAnsiTheme="majorHAnsi" w:cstheme="majorHAnsi"/>
          <w:sz w:val="20"/>
          <w:szCs w:val="20"/>
        </w:rPr>
        <w:t xml:space="preserve"> to check for timetabling</w:t>
      </w:r>
      <w:r w:rsidR="00E8505F" w:rsidRPr="007F4A2B">
        <w:rPr>
          <w:rFonts w:asciiTheme="majorHAnsi" w:hAnsiTheme="majorHAnsi" w:cstheme="majorHAnsi"/>
          <w:sz w:val="20"/>
          <w:szCs w:val="20"/>
        </w:rPr>
        <w:t xml:space="preserve"> clashes</w:t>
      </w:r>
      <w:r w:rsidR="009A1210">
        <w:rPr>
          <w:rFonts w:asciiTheme="majorHAnsi" w:hAnsiTheme="majorHAnsi" w:cstheme="majorHAnsi"/>
          <w:sz w:val="20"/>
          <w:szCs w:val="20"/>
        </w:rPr>
        <w:t>.</w:t>
      </w:r>
      <w:r w:rsidR="002176B8" w:rsidRPr="007F4A2B">
        <w:rPr>
          <w:rFonts w:asciiTheme="majorHAnsi" w:hAnsiTheme="majorHAnsi" w:cstheme="majorHAnsi"/>
          <w:sz w:val="20"/>
          <w:szCs w:val="20"/>
        </w:rPr>
        <w:t xml:space="preserve"> </w:t>
      </w:r>
    </w:p>
    <w:p w14:paraId="09FEE655" w14:textId="77777777" w:rsidR="003F21AB" w:rsidRPr="007F4A2B" w:rsidRDefault="003F21AB" w:rsidP="003F21AB">
      <w:pPr>
        <w:autoSpaceDE w:val="0"/>
        <w:autoSpaceDN w:val="0"/>
        <w:spacing w:after="0" w:line="240" w:lineRule="auto"/>
        <w:rPr>
          <w:rFonts w:asciiTheme="majorHAnsi" w:hAnsiTheme="majorHAnsi" w:cstheme="majorHAnsi"/>
          <w:sz w:val="20"/>
          <w:szCs w:val="20"/>
        </w:rPr>
      </w:pPr>
    </w:p>
    <w:p w14:paraId="5E476AF3" w14:textId="25DD422F" w:rsidR="0030552C" w:rsidRPr="007F4A2B" w:rsidRDefault="000572B2" w:rsidP="0030552C">
      <w:pPr>
        <w:autoSpaceDE w:val="0"/>
        <w:autoSpaceDN w:val="0"/>
        <w:spacing w:after="0" w:line="240" w:lineRule="auto"/>
        <w:rPr>
          <w:rFonts w:asciiTheme="majorHAnsi" w:hAnsiTheme="majorHAnsi" w:cstheme="majorHAnsi"/>
          <w:i/>
          <w:iCs/>
          <w:sz w:val="20"/>
          <w:szCs w:val="20"/>
        </w:rPr>
      </w:pPr>
      <w:r w:rsidRPr="007F4A2B">
        <w:rPr>
          <w:rFonts w:asciiTheme="majorHAnsi" w:hAnsiTheme="majorHAnsi" w:cstheme="majorHAnsi"/>
          <w:i/>
          <w:iCs/>
          <w:sz w:val="20"/>
          <w:szCs w:val="20"/>
        </w:rPr>
        <w:t>(d</w:t>
      </w:r>
      <w:r w:rsidR="0030552C" w:rsidRPr="007F4A2B">
        <w:rPr>
          <w:rFonts w:asciiTheme="majorHAnsi" w:hAnsiTheme="majorHAnsi" w:cstheme="majorHAnsi"/>
          <w:i/>
          <w:iCs/>
          <w:sz w:val="20"/>
          <w:szCs w:val="20"/>
        </w:rPr>
        <w:t>)</w:t>
      </w:r>
      <w:r w:rsidR="0030552C" w:rsidRPr="007F4A2B">
        <w:rPr>
          <w:rFonts w:asciiTheme="majorHAnsi" w:hAnsiTheme="majorHAnsi" w:cstheme="majorHAnsi"/>
          <w:i/>
          <w:iCs/>
          <w:sz w:val="20"/>
          <w:szCs w:val="20"/>
        </w:rPr>
        <w:tab/>
        <w:t>Semester weightings</w:t>
      </w:r>
    </w:p>
    <w:p w14:paraId="7116336F" w14:textId="7F3ED117" w:rsidR="00FB06FD" w:rsidRDefault="007A2C58">
      <w:pPr>
        <w:rPr>
          <w:rFonts w:asciiTheme="majorHAnsi" w:eastAsia="Times New Roman" w:hAnsiTheme="majorHAnsi" w:cstheme="majorHAnsi"/>
          <w:color w:val="000000"/>
        </w:rPr>
      </w:pPr>
      <w:r w:rsidRPr="007F4A2B">
        <w:rPr>
          <w:rFonts w:asciiTheme="majorHAnsi" w:eastAsia="Times New Roman" w:hAnsiTheme="majorHAnsi" w:cstheme="majorHAnsi"/>
          <w:color w:val="000000"/>
          <w:sz w:val="20"/>
          <w:szCs w:val="20"/>
        </w:rPr>
        <w:t>Students on the LLM programme study a total of 180 credits. Of this, s</w:t>
      </w:r>
      <w:r w:rsidRPr="007F4A2B">
        <w:rPr>
          <w:rFonts w:asciiTheme="majorHAnsi" w:hAnsiTheme="majorHAnsi" w:cstheme="majorHAnsi"/>
          <w:sz w:val="20"/>
          <w:szCs w:val="20"/>
        </w:rPr>
        <w:t xml:space="preserve">tudents </w:t>
      </w:r>
      <w:proofErr w:type="gramStart"/>
      <w:r w:rsidRPr="007F4A2B">
        <w:rPr>
          <w:rFonts w:asciiTheme="majorHAnsi" w:hAnsiTheme="majorHAnsi" w:cstheme="majorHAnsi"/>
          <w:sz w:val="20"/>
          <w:szCs w:val="20"/>
        </w:rPr>
        <w:t>have to</w:t>
      </w:r>
      <w:proofErr w:type="gramEnd"/>
      <w:r w:rsidRPr="007F4A2B">
        <w:rPr>
          <w:rFonts w:asciiTheme="majorHAnsi" w:hAnsiTheme="majorHAnsi" w:cstheme="majorHAnsi"/>
          <w:sz w:val="20"/>
          <w:szCs w:val="20"/>
        </w:rPr>
        <w:t xml:space="preserve"> choose a total of 120 taught credits, with dissertations weighing 60 credits. The University rules on semester weightings are that the taught element credit split should as far as possible be balanced across the two teaching semesters (</w:t>
      </w:r>
      <w:proofErr w:type="gramStart"/>
      <w:r w:rsidRPr="007F4A2B">
        <w:rPr>
          <w:rFonts w:asciiTheme="majorHAnsi" w:hAnsiTheme="majorHAnsi" w:cstheme="majorHAnsi"/>
          <w:sz w:val="20"/>
          <w:szCs w:val="20"/>
        </w:rPr>
        <w:t>i.e.</w:t>
      </w:r>
      <w:proofErr w:type="gramEnd"/>
      <w:r w:rsidRPr="007F4A2B">
        <w:rPr>
          <w:rFonts w:asciiTheme="majorHAnsi" w:hAnsiTheme="majorHAnsi" w:cstheme="majorHAnsi"/>
          <w:sz w:val="20"/>
          <w:szCs w:val="20"/>
        </w:rPr>
        <w:t xml:space="preserve"> 60 credits in each semester)</w:t>
      </w:r>
      <w:r w:rsidR="003F21AB" w:rsidRPr="007F4A2B">
        <w:rPr>
          <w:rFonts w:asciiTheme="majorHAnsi" w:hAnsiTheme="majorHAnsi" w:cstheme="majorHAnsi"/>
          <w:sz w:val="20"/>
          <w:szCs w:val="20"/>
        </w:rPr>
        <w:t>.  The University rules on semester weightings are that the credit split</w:t>
      </w:r>
      <w:r w:rsidR="001D7C9C" w:rsidRPr="007F4A2B">
        <w:rPr>
          <w:rFonts w:asciiTheme="majorHAnsi" w:hAnsiTheme="majorHAnsi" w:cstheme="majorHAnsi"/>
          <w:sz w:val="20"/>
          <w:szCs w:val="20"/>
        </w:rPr>
        <w:t xml:space="preserve"> should as far as possible be balanced across the two teaching semesters</w:t>
      </w:r>
      <w:r w:rsidR="003F21AB" w:rsidRPr="007F4A2B">
        <w:rPr>
          <w:rFonts w:asciiTheme="majorHAnsi" w:hAnsiTheme="majorHAnsi" w:cstheme="majorHAnsi"/>
          <w:sz w:val="20"/>
          <w:szCs w:val="20"/>
        </w:rPr>
        <w:t xml:space="preserve">. </w:t>
      </w:r>
      <w:r w:rsidR="002176B8" w:rsidRPr="007F4A2B">
        <w:rPr>
          <w:rFonts w:asciiTheme="majorHAnsi" w:hAnsiTheme="majorHAnsi" w:cstheme="majorHAnsi"/>
          <w:sz w:val="20"/>
          <w:szCs w:val="20"/>
        </w:rPr>
        <w:t>A balance also makes sense in terms of study hours and assessment spread.</w:t>
      </w:r>
      <w:r w:rsidR="003F21AB" w:rsidRPr="007F4A2B">
        <w:rPr>
          <w:rFonts w:asciiTheme="majorHAnsi" w:hAnsiTheme="majorHAnsi" w:cstheme="majorHAnsi"/>
          <w:sz w:val="20"/>
          <w:szCs w:val="20"/>
        </w:rPr>
        <w:t xml:space="preserve"> </w:t>
      </w:r>
    </w:p>
    <w:p w14:paraId="17CF2C53" w14:textId="77777777" w:rsidR="00FB06FD" w:rsidRPr="00FB06FD" w:rsidRDefault="00FB06FD">
      <w:pPr>
        <w:rPr>
          <w:rFonts w:asciiTheme="majorHAnsi" w:eastAsia="Times New Roman" w:hAnsiTheme="majorHAnsi" w:cstheme="majorHAnsi"/>
          <w:color w:val="000000"/>
        </w:rPr>
      </w:pPr>
    </w:p>
    <w:p w14:paraId="2BB73729" w14:textId="0C919630" w:rsidR="00F63CB0" w:rsidRPr="007F4A2B" w:rsidRDefault="000572B2" w:rsidP="00F63CB0">
      <w:pPr>
        <w:autoSpaceDE w:val="0"/>
        <w:autoSpaceDN w:val="0"/>
        <w:spacing w:after="0" w:line="240" w:lineRule="auto"/>
        <w:jc w:val="both"/>
        <w:rPr>
          <w:rFonts w:asciiTheme="majorHAnsi" w:hAnsiTheme="majorHAnsi" w:cstheme="majorHAnsi"/>
          <w:b/>
          <w:sz w:val="20"/>
          <w:szCs w:val="20"/>
        </w:rPr>
      </w:pPr>
      <w:r w:rsidRPr="007F4A2B">
        <w:rPr>
          <w:rFonts w:asciiTheme="majorHAnsi" w:hAnsiTheme="majorHAnsi" w:cstheme="majorHAnsi"/>
          <w:b/>
          <w:sz w:val="20"/>
          <w:szCs w:val="20"/>
        </w:rPr>
        <w:t>3</w:t>
      </w:r>
      <w:r w:rsidR="0030552C" w:rsidRPr="007F4A2B">
        <w:rPr>
          <w:rFonts w:asciiTheme="majorHAnsi" w:hAnsiTheme="majorHAnsi" w:cstheme="majorHAnsi"/>
          <w:b/>
          <w:sz w:val="20"/>
          <w:szCs w:val="20"/>
        </w:rPr>
        <w:t>.</w:t>
      </w:r>
      <w:r w:rsidR="0030552C" w:rsidRPr="007F4A2B">
        <w:rPr>
          <w:rFonts w:asciiTheme="majorHAnsi" w:hAnsiTheme="majorHAnsi" w:cstheme="majorHAnsi"/>
          <w:b/>
          <w:sz w:val="20"/>
          <w:szCs w:val="20"/>
        </w:rPr>
        <w:tab/>
      </w:r>
      <w:r w:rsidR="00F63CB0" w:rsidRPr="007F4A2B">
        <w:rPr>
          <w:rFonts w:asciiTheme="majorHAnsi" w:hAnsiTheme="majorHAnsi" w:cstheme="majorHAnsi"/>
          <w:b/>
          <w:sz w:val="20"/>
          <w:szCs w:val="20"/>
        </w:rPr>
        <w:t>Process</w:t>
      </w:r>
    </w:p>
    <w:p w14:paraId="378CA0A9" w14:textId="77777777" w:rsidR="008A6A98" w:rsidRPr="007F4A2B" w:rsidRDefault="008A6A98" w:rsidP="0030552C">
      <w:pPr>
        <w:autoSpaceDE w:val="0"/>
        <w:autoSpaceDN w:val="0"/>
        <w:spacing w:after="0" w:line="240" w:lineRule="auto"/>
        <w:jc w:val="both"/>
        <w:rPr>
          <w:rFonts w:asciiTheme="majorHAnsi" w:hAnsiTheme="majorHAnsi" w:cstheme="majorHAnsi"/>
          <w:sz w:val="20"/>
          <w:szCs w:val="20"/>
        </w:rPr>
      </w:pPr>
    </w:p>
    <w:p w14:paraId="5F3335C1" w14:textId="1C977BBC" w:rsidR="00F63CB0" w:rsidRPr="007F4A2B" w:rsidRDefault="006A53FB" w:rsidP="0030552C">
      <w:pPr>
        <w:autoSpaceDE w:val="0"/>
        <w:autoSpaceDN w:val="0"/>
        <w:spacing w:after="0" w:line="240" w:lineRule="auto"/>
        <w:jc w:val="both"/>
        <w:rPr>
          <w:rFonts w:asciiTheme="majorHAnsi" w:hAnsiTheme="majorHAnsi" w:cstheme="majorHAnsi"/>
          <w:sz w:val="20"/>
          <w:szCs w:val="20"/>
        </w:rPr>
      </w:pPr>
      <w:r w:rsidRPr="007F4A2B">
        <w:rPr>
          <w:rFonts w:asciiTheme="majorHAnsi" w:hAnsiTheme="majorHAnsi" w:cstheme="majorHAnsi"/>
          <w:sz w:val="20"/>
          <w:szCs w:val="20"/>
        </w:rPr>
        <w:t xml:space="preserve">For formal approval, </w:t>
      </w:r>
      <w:r w:rsidR="00CB6EDD" w:rsidRPr="007F4A2B">
        <w:rPr>
          <w:rFonts w:asciiTheme="majorHAnsi" w:hAnsiTheme="majorHAnsi" w:cstheme="majorHAnsi"/>
          <w:sz w:val="20"/>
          <w:szCs w:val="20"/>
        </w:rPr>
        <w:t xml:space="preserve">students </w:t>
      </w:r>
      <w:r w:rsidR="00F63CB0" w:rsidRPr="007F4A2B">
        <w:rPr>
          <w:rFonts w:asciiTheme="majorHAnsi" w:hAnsiTheme="majorHAnsi" w:cstheme="majorHAnsi"/>
          <w:b/>
          <w:sz w:val="20"/>
          <w:szCs w:val="20"/>
        </w:rPr>
        <w:t>must</w:t>
      </w:r>
      <w:r w:rsidR="008A6A98" w:rsidRPr="007F4A2B">
        <w:rPr>
          <w:rFonts w:asciiTheme="majorHAnsi" w:hAnsiTheme="majorHAnsi" w:cstheme="majorHAnsi"/>
          <w:sz w:val="20"/>
          <w:szCs w:val="20"/>
        </w:rPr>
        <w:t xml:space="preserve"> </w:t>
      </w:r>
      <w:r w:rsidRPr="007F4A2B">
        <w:rPr>
          <w:rFonts w:asciiTheme="majorHAnsi" w:hAnsiTheme="majorHAnsi" w:cstheme="majorHAnsi"/>
          <w:sz w:val="20"/>
          <w:szCs w:val="20"/>
        </w:rPr>
        <w:t>adhere to the</w:t>
      </w:r>
      <w:r w:rsidR="00CB6EDD" w:rsidRPr="007F4A2B">
        <w:rPr>
          <w:rFonts w:asciiTheme="majorHAnsi" w:hAnsiTheme="majorHAnsi" w:cstheme="majorHAnsi"/>
          <w:sz w:val="20"/>
          <w:szCs w:val="20"/>
        </w:rPr>
        <w:t xml:space="preserve"> following process</w:t>
      </w:r>
      <w:r w:rsidR="00F63CB0" w:rsidRPr="007F4A2B">
        <w:rPr>
          <w:rFonts w:asciiTheme="majorHAnsi" w:hAnsiTheme="majorHAnsi" w:cstheme="majorHAnsi"/>
          <w:sz w:val="20"/>
          <w:szCs w:val="20"/>
        </w:rPr>
        <w:t>:</w:t>
      </w:r>
    </w:p>
    <w:p w14:paraId="4AA228E5" w14:textId="77777777" w:rsidR="0030552C" w:rsidRPr="007F4A2B" w:rsidRDefault="0030552C" w:rsidP="00F63CB0">
      <w:pPr>
        <w:autoSpaceDE w:val="0"/>
        <w:autoSpaceDN w:val="0"/>
        <w:spacing w:after="0" w:line="240" w:lineRule="auto"/>
        <w:jc w:val="both"/>
        <w:rPr>
          <w:rFonts w:asciiTheme="majorHAnsi" w:hAnsiTheme="majorHAnsi" w:cstheme="majorHAnsi"/>
          <w:sz w:val="20"/>
          <w:szCs w:val="20"/>
        </w:rPr>
      </w:pPr>
    </w:p>
    <w:p w14:paraId="2E7C2879" w14:textId="426348D1" w:rsidR="0052696E" w:rsidRPr="007F4A2B" w:rsidRDefault="0052696E" w:rsidP="0052696E">
      <w:pPr>
        <w:pStyle w:val="ListParagraph"/>
        <w:numPr>
          <w:ilvl w:val="0"/>
          <w:numId w:val="4"/>
        </w:numPr>
        <w:autoSpaceDE w:val="0"/>
        <w:autoSpaceDN w:val="0"/>
        <w:spacing w:after="0" w:line="240" w:lineRule="auto"/>
        <w:jc w:val="both"/>
        <w:rPr>
          <w:rFonts w:asciiTheme="majorHAnsi" w:hAnsiTheme="majorHAnsi" w:cstheme="majorHAnsi"/>
          <w:sz w:val="20"/>
          <w:szCs w:val="20"/>
        </w:rPr>
      </w:pPr>
      <w:r w:rsidRPr="007F4A2B">
        <w:rPr>
          <w:rFonts w:asciiTheme="majorHAnsi" w:hAnsiTheme="majorHAnsi" w:cstheme="majorHAnsi"/>
          <w:sz w:val="20"/>
          <w:szCs w:val="20"/>
        </w:rPr>
        <w:t xml:space="preserve">Verify that the </w:t>
      </w:r>
      <w:r w:rsidR="006A53FB" w:rsidRPr="007F4A2B">
        <w:rPr>
          <w:rFonts w:asciiTheme="majorHAnsi" w:hAnsiTheme="majorHAnsi" w:cstheme="majorHAnsi"/>
          <w:sz w:val="20"/>
          <w:szCs w:val="20"/>
        </w:rPr>
        <w:t xml:space="preserve">module meets the substantive requirements in section 1 </w:t>
      </w:r>
      <w:proofErr w:type="gramStart"/>
      <w:r w:rsidR="006A53FB" w:rsidRPr="007F4A2B">
        <w:rPr>
          <w:rFonts w:asciiTheme="majorHAnsi" w:hAnsiTheme="majorHAnsi" w:cstheme="majorHAnsi"/>
          <w:sz w:val="20"/>
          <w:szCs w:val="20"/>
        </w:rPr>
        <w:t>above;</w:t>
      </w:r>
      <w:proofErr w:type="gramEnd"/>
    </w:p>
    <w:p w14:paraId="5851E773" w14:textId="4E464B6C" w:rsidR="006A53FB" w:rsidRPr="007F4A2B" w:rsidRDefault="006A53FB" w:rsidP="0052696E">
      <w:pPr>
        <w:pStyle w:val="ListParagraph"/>
        <w:numPr>
          <w:ilvl w:val="0"/>
          <w:numId w:val="4"/>
        </w:numPr>
        <w:autoSpaceDE w:val="0"/>
        <w:autoSpaceDN w:val="0"/>
        <w:spacing w:after="0" w:line="240" w:lineRule="auto"/>
        <w:jc w:val="both"/>
        <w:rPr>
          <w:rFonts w:asciiTheme="majorHAnsi" w:hAnsiTheme="majorHAnsi" w:cstheme="majorHAnsi"/>
          <w:sz w:val="20"/>
          <w:szCs w:val="20"/>
        </w:rPr>
      </w:pPr>
      <w:r w:rsidRPr="007F4A2B">
        <w:rPr>
          <w:rFonts w:asciiTheme="majorHAnsi" w:hAnsiTheme="majorHAnsi" w:cstheme="majorHAnsi"/>
          <w:sz w:val="20"/>
          <w:szCs w:val="20"/>
        </w:rPr>
        <w:t xml:space="preserve">Verify that the module meets the procedural requirements in section 2 </w:t>
      </w:r>
      <w:proofErr w:type="gramStart"/>
      <w:r w:rsidRPr="007F4A2B">
        <w:rPr>
          <w:rFonts w:asciiTheme="majorHAnsi" w:hAnsiTheme="majorHAnsi" w:cstheme="majorHAnsi"/>
          <w:sz w:val="20"/>
          <w:szCs w:val="20"/>
        </w:rPr>
        <w:t>above;</w:t>
      </w:r>
      <w:proofErr w:type="gramEnd"/>
    </w:p>
    <w:p w14:paraId="42B74707" w14:textId="2713F6A0" w:rsidR="00930853" w:rsidRPr="007F4A2B" w:rsidRDefault="00F63CB0" w:rsidP="00F63CB0">
      <w:pPr>
        <w:pStyle w:val="ListParagraph"/>
        <w:numPr>
          <w:ilvl w:val="0"/>
          <w:numId w:val="4"/>
        </w:numPr>
        <w:autoSpaceDE w:val="0"/>
        <w:autoSpaceDN w:val="0"/>
        <w:spacing w:after="0" w:line="240" w:lineRule="auto"/>
        <w:jc w:val="both"/>
        <w:rPr>
          <w:rFonts w:asciiTheme="majorHAnsi" w:hAnsiTheme="majorHAnsi" w:cstheme="majorHAnsi"/>
          <w:sz w:val="20"/>
          <w:szCs w:val="20"/>
        </w:rPr>
      </w:pPr>
      <w:r w:rsidRPr="007F4A2B">
        <w:rPr>
          <w:rFonts w:asciiTheme="majorHAnsi" w:hAnsiTheme="majorHAnsi" w:cstheme="majorHAnsi"/>
          <w:sz w:val="20"/>
          <w:szCs w:val="20"/>
        </w:rPr>
        <w:t xml:space="preserve">Complete the </w:t>
      </w:r>
      <w:r w:rsidR="00D77C6A" w:rsidRPr="007F4A2B">
        <w:rPr>
          <w:rFonts w:asciiTheme="majorHAnsi" w:hAnsiTheme="majorHAnsi" w:cstheme="majorHAnsi"/>
          <w:sz w:val="20"/>
          <w:szCs w:val="20"/>
        </w:rPr>
        <w:t xml:space="preserve">Non-Law Module Approval Form </w:t>
      </w:r>
      <w:r w:rsidR="00930853" w:rsidRPr="007F4A2B">
        <w:rPr>
          <w:rFonts w:asciiTheme="majorHAnsi" w:hAnsiTheme="majorHAnsi" w:cstheme="majorHAnsi"/>
          <w:sz w:val="20"/>
          <w:szCs w:val="20"/>
        </w:rPr>
        <w:t xml:space="preserve">ensuring </w:t>
      </w:r>
      <w:r w:rsidR="00930853" w:rsidRPr="007F4A2B">
        <w:rPr>
          <w:rFonts w:asciiTheme="majorHAnsi" w:hAnsiTheme="majorHAnsi" w:cstheme="majorHAnsi"/>
          <w:b/>
          <w:sz w:val="20"/>
          <w:szCs w:val="20"/>
        </w:rPr>
        <w:t>all fields</w:t>
      </w:r>
      <w:r w:rsidR="00930853" w:rsidRPr="007F4A2B">
        <w:rPr>
          <w:rFonts w:asciiTheme="majorHAnsi" w:hAnsiTheme="majorHAnsi" w:cstheme="majorHAnsi"/>
          <w:sz w:val="20"/>
          <w:szCs w:val="20"/>
        </w:rPr>
        <w:t xml:space="preserve"> are completed and that </w:t>
      </w:r>
      <w:r w:rsidR="00930853" w:rsidRPr="007F4A2B">
        <w:rPr>
          <w:rFonts w:asciiTheme="majorHAnsi" w:hAnsiTheme="majorHAnsi" w:cstheme="majorHAnsi"/>
          <w:b/>
          <w:sz w:val="20"/>
          <w:szCs w:val="20"/>
        </w:rPr>
        <w:t>a</w:t>
      </w:r>
      <w:r w:rsidR="00B53395" w:rsidRPr="007F4A2B">
        <w:rPr>
          <w:rFonts w:asciiTheme="majorHAnsi" w:hAnsiTheme="majorHAnsi" w:cstheme="majorHAnsi"/>
          <w:b/>
          <w:sz w:val="20"/>
          <w:szCs w:val="20"/>
        </w:rPr>
        <w:t xml:space="preserve">ll </w:t>
      </w:r>
      <w:r w:rsidR="006A53FB" w:rsidRPr="007F4A2B">
        <w:rPr>
          <w:rFonts w:asciiTheme="majorHAnsi" w:hAnsiTheme="majorHAnsi" w:cstheme="majorHAnsi"/>
          <w:b/>
          <w:sz w:val="20"/>
          <w:szCs w:val="20"/>
        </w:rPr>
        <w:t xml:space="preserve">evidence </w:t>
      </w:r>
      <w:r w:rsidR="006A53FB" w:rsidRPr="007F4A2B">
        <w:rPr>
          <w:rFonts w:asciiTheme="majorHAnsi" w:hAnsiTheme="majorHAnsi" w:cstheme="majorHAnsi"/>
          <w:sz w:val="20"/>
          <w:szCs w:val="20"/>
        </w:rPr>
        <w:t>(approval emails</w:t>
      </w:r>
      <w:r w:rsidR="006A53FB" w:rsidRPr="007F4A2B">
        <w:rPr>
          <w:rFonts w:asciiTheme="majorHAnsi" w:hAnsiTheme="majorHAnsi" w:cstheme="majorHAnsi"/>
          <w:b/>
          <w:sz w:val="20"/>
          <w:szCs w:val="20"/>
        </w:rPr>
        <w:t xml:space="preserve">, </w:t>
      </w:r>
      <w:r w:rsidR="00B53395" w:rsidRPr="007F4A2B">
        <w:rPr>
          <w:rFonts w:asciiTheme="majorHAnsi" w:hAnsiTheme="majorHAnsi" w:cstheme="majorHAnsi"/>
          <w:sz w:val="20"/>
          <w:szCs w:val="20"/>
        </w:rPr>
        <w:t xml:space="preserve">pre-requisite waiver emails </w:t>
      </w:r>
      <w:r w:rsidR="006A53FB" w:rsidRPr="007F4A2B">
        <w:rPr>
          <w:rFonts w:asciiTheme="majorHAnsi" w:hAnsiTheme="majorHAnsi" w:cstheme="majorHAnsi"/>
          <w:sz w:val="20"/>
          <w:szCs w:val="20"/>
        </w:rPr>
        <w:t>etc.</w:t>
      </w:r>
      <w:r w:rsidR="00B53395" w:rsidRPr="007F4A2B">
        <w:rPr>
          <w:rFonts w:asciiTheme="majorHAnsi" w:hAnsiTheme="majorHAnsi" w:cstheme="majorHAnsi"/>
          <w:sz w:val="20"/>
          <w:szCs w:val="20"/>
        </w:rPr>
        <w:t xml:space="preserve">) </w:t>
      </w:r>
      <w:r w:rsidR="006A53FB" w:rsidRPr="007F4A2B">
        <w:rPr>
          <w:rFonts w:asciiTheme="majorHAnsi" w:hAnsiTheme="majorHAnsi" w:cstheme="majorHAnsi"/>
          <w:sz w:val="20"/>
          <w:szCs w:val="20"/>
        </w:rPr>
        <w:t>is</w:t>
      </w:r>
      <w:r w:rsidR="00B53395" w:rsidRPr="007F4A2B">
        <w:rPr>
          <w:rFonts w:asciiTheme="majorHAnsi" w:hAnsiTheme="majorHAnsi" w:cstheme="majorHAnsi"/>
          <w:sz w:val="20"/>
          <w:szCs w:val="20"/>
        </w:rPr>
        <w:t xml:space="preserve"> </w:t>
      </w:r>
      <w:proofErr w:type="gramStart"/>
      <w:r w:rsidR="00B53395" w:rsidRPr="007F4A2B">
        <w:rPr>
          <w:rFonts w:asciiTheme="majorHAnsi" w:hAnsiTheme="majorHAnsi" w:cstheme="majorHAnsi"/>
          <w:b/>
          <w:sz w:val="20"/>
          <w:szCs w:val="20"/>
        </w:rPr>
        <w:t>attached</w:t>
      </w:r>
      <w:r w:rsidR="006A53FB" w:rsidRPr="007F4A2B">
        <w:rPr>
          <w:rFonts w:asciiTheme="majorHAnsi" w:hAnsiTheme="majorHAnsi" w:cstheme="majorHAnsi"/>
          <w:sz w:val="20"/>
          <w:szCs w:val="20"/>
        </w:rPr>
        <w:t>;</w:t>
      </w:r>
      <w:proofErr w:type="gramEnd"/>
    </w:p>
    <w:p w14:paraId="35D75E76" w14:textId="17887E0E" w:rsidR="00230498" w:rsidRPr="007F4A2B" w:rsidRDefault="00930853" w:rsidP="006A53FB">
      <w:pPr>
        <w:pStyle w:val="ListParagraph"/>
        <w:numPr>
          <w:ilvl w:val="0"/>
          <w:numId w:val="4"/>
        </w:numPr>
        <w:autoSpaceDE w:val="0"/>
        <w:autoSpaceDN w:val="0"/>
        <w:spacing w:after="0" w:line="240" w:lineRule="auto"/>
        <w:rPr>
          <w:rFonts w:asciiTheme="majorHAnsi" w:hAnsiTheme="majorHAnsi" w:cstheme="majorHAnsi"/>
          <w:sz w:val="20"/>
          <w:szCs w:val="20"/>
        </w:rPr>
      </w:pPr>
      <w:r w:rsidRPr="007F4A2B">
        <w:rPr>
          <w:rFonts w:asciiTheme="majorHAnsi" w:hAnsiTheme="majorHAnsi" w:cstheme="majorHAnsi"/>
          <w:sz w:val="20"/>
          <w:szCs w:val="20"/>
        </w:rPr>
        <w:t>E</w:t>
      </w:r>
      <w:r w:rsidR="00BD0974" w:rsidRPr="007F4A2B">
        <w:rPr>
          <w:rFonts w:asciiTheme="majorHAnsi" w:hAnsiTheme="majorHAnsi" w:cstheme="majorHAnsi"/>
          <w:sz w:val="20"/>
          <w:szCs w:val="20"/>
        </w:rPr>
        <w:t xml:space="preserve">mail </w:t>
      </w:r>
      <w:r w:rsidRPr="007F4A2B">
        <w:rPr>
          <w:rFonts w:asciiTheme="majorHAnsi" w:hAnsiTheme="majorHAnsi" w:cstheme="majorHAnsi"/>
          <w:sz w:val="20"/>
          <w:szCs w:val="20"/>
        </w:rPr>
        <w:t xml:space="preserve">the Non-Law Module </w:t>
      </w:r>
      <w:r w:rsidR="001165E8" w:rsidRPr="007F4A2B">
        <w:rPr>
          <w:rFonts w:asciiTheme="majorHAnsi" w:hAnsiTheme="majorHAnsi" w:cstheme="majorHAnsi"/>
          <w:sz w:val="20"/>
          <w:szCs w:val="20"/>
        </w:rPr>
        <w:t>Selection</w:t>
      </w:r>
      <w:r w:rsidRPr="007F4A2B">
        <w:rPr>
          <w:rFonts w:asciiTheme="majorHAnsi" w:hAnsiTheme="majorHAnsi" w:cstheme="majorHAnsi"/>
          <w:sz w:val="20"/>
          <w:szCs w:val="20"/>
        </w:rPr>
        <w:t xml:space="preserve"> Form </w:t>
      </w:r>
      <w:r w:rsidR="001D7C9C" w:rsidRPr="007F4A2B">
        <w:rPr>
          <w:rFonts w:asciiTheme="majorHAnsi" w:hAnsiTheme="majorHAnsi" w:cstheme="majorHAnsi"/>
          <w:sz w:val="20"/>
          <w:szCs w:val="20"/>
        </w:rPr>
        <w:t xml:space="preserve">to </w:t>
      </w:r>
      <w:hyperlink r:id="rId7" w:history="1">
        <w:r w:rsidR="0014561A" w:rsidRPr="007F4A2B">
          <w:rPr>
            <w:rStyle w:val="Hyperlink"/>
            <w:rFonts w:asciiTheme="majorHAnsi" w:hAnsiTheme="majorHAnsi" w:cstheme="majorHAnsi"/>
            <w:sz w:val="20"/>
            <w:szCs w:val="20"/>
          </w:rPr>
          <w:t>gemma.hayton@ncl.ac.uk</w:t>
        </w:r>
      </w:hyperlink>
      <w:r w:rsidR="0014561A" w:rsidRPr="007F4A2B">
        <w:rPr>
          <w:rFonts w:asciiTheme="majorHAnsi" w:hAnsiTheme="majorHAnsi" w:cstheme="majorHAnsi"/>
          <w:sz w:val="20"/>
          <w:szCs w:val="20"/>
        </w:rPr>
        <w:t xml:space="preserve"> who will pass this to the DPD team.</w:t>
      </w:r>
    </w:p>
    <w:p w14:paraId="24D386ED" w14:textId="7D3DF46F" w:rsidR="00F63CB0" w:rsidRPr="007F4A2B" w:rsidRDefault="00230498" w:rsidP="006A53FB">
      <w:pPr>
        <w:pStyle w:val="ListParagraph"/>
        <w:numPr>
          <w:ilvl w:val="0"/>
          <w:numId w:val="4"/>
        </w:numPr>
        <w:autoSpaceDE w:val="0"/>
        <w:autoSpaceDN w:val="0"/>
        <w:spacing w:after="0" w:line="240" w:lineRule="auto"/>
        <w:rPr>
          <w:rFonts w:asciiTheme="majorHAnsi" w:hAnsiTheme="majorHAnsi" w:cstheme="majorHAnsi"/>
          <w:sz w:val="20"/>
          <w:szCs w:val="20"/>
        </w:rPr>
      </w:pPr>
      <w:r w:rsidRPr="007F4A2B">
        <w:rPr>
          <w:rFonts w:asciiTheme="majorHAnsi" w:hAnsiTheme="majorHAnsi" w:cstheme="majorHAnsi"/>
          <w:sz w:val="20"/>
          <w:szCs w:val="20"/>
        </w:rPr>
        <w:t xml:space="preserve">Applications that do not adhere to the prescribed process will not be approved.  </w:t>
      </w:r>
      <w:r w:rsidR="00641217" w:rsidRPr="007F4A2B">
        <w:rPr>
          <w:rStyle w:val="Hyperlink"/>
          <w:rFonts w:asciiTheme="majorHAnsi" w:hAnsiTheme="majorHAnsi" w:cstheme="majorHAnsi"/>
          <w:sz w:val="20"/>
          <w:szCs w:val="20"/>
        </w:rPr>
        <w:t xml:space="preserve"> </w:t>
      </w:r>
    </w:p>
    <w:p w14:paraId="73559CD2" w14:textId="77777777" w:rsidR="00D0380E" w:rsidRPr="007F4A2B" w:rsidRDefault="00D0380E" w:rsidP="00D0380E">
      <w:pPr>
        <w:spacing w:after="0"/>
        <w:rPr>
          <w:rFonts w:asciiTheme="majorHAnsi" w:hAnsiTheme="majorHAnsi" w:cstheme="majorHAnsi"/>
          <w:sz w:val="20"/>
          <w:szCs w:val="20"/>
        </w:rPr>
      </w:pPr>
    </w:p>
    <w:p w14:paraId="16EF2865" w14:textId="37BA426C" w:rsidR="00CB6EDD" w:rsidRPr="007F4A2B" w:rsidRDefault="00CB6EDD" w:rsidP="00B0463C">
      <w:pPr>
        <w:spacing w:after="0"/>
        <w:rPr>
          <w:rFonts w:asciiTheme="majorHAnsi" w:hAnsiTheme="majorHAnsi" w:cstheme="majorHAnsi"/>
          <w:sz w:val="20"/>
          <w:szCs w:val="20"/>
        </w:rPr>
      </w:pPr>
      <w:r w:rsidRPr="007F4A2B">
        <w:rPr>
          <w:rFonts w:asciiTheme="majorHAnsi" w:hAnsiTheme="majorHAnsi" w:cstheme="majorHAnsi"/>
          <w:sz w:val="20"/>
          <w:szCs w:val="20"/>
        </w:rPr>
        <w:t>If the student’s chosen module is not formally approved, students can either apply for other non-law modules, or for optional modules within the law school.</w:t>
      </w:r>
    </w:p>
    <w:p w14:paraId="67289A81" w14:textId="77777777" w:rsidR="00B0463C" w:rsidRPr="007F4A2B" w:rsidRDefault="00B0463C" w:rsidP="00B0463C">
      <w:pPr>
        <w:spacing w:after="0"/>
        <w:rPr>
          <w:rFonts w:asciiTheme="majorHAnsi" w:hAnsiTheme="majorHAnsi" w:cstheme="majorHAnsi"/>
          <w:b/>
          <w:sz w:val="20"/>
          <w:szCs w:val="20"/>
        </w:rPr>
      </w:pPr>
    </w:p>
    <w:p w14:paraId="328640EF" w14:textId="0FB3A928" w:rsidR="00746058" w:rsidRPr="007F4A2B" w:rsidRDefault="00746058" w:rsidP="00746058">
      <w:pPr>
        <w:jc w:val="center"/>
        <w:rPr>
          <w:rFonts w:asciiTheme="majorHAnsi" w:hAnsiTheme="majorHAnsi" w:cstheme="majorHAnsi"/>
          <w:b/>
          <w:sz w:val="20"/>
          <w:szCs w:val="20"/>
        </w:rPr>
      </w:pPr>
      <w:r w:rsidRPr="007F4A2B">
        <w:rPr>
          <w:rFonts w:asciiTheme="majorHAnsi" w:hAnsiTheme="majorHAnsi" w:cstheme="majorHAnsi"/>
          <w:b/>
          <w:sz w:val="20"/>
          <w:szCs w:val="20"/>
        </w:rPr>
        <w:t xml:space="preserve">Any queries on the above should be directed to: </w:t>
      </w:r>
      <w:r w:rsidR="001C38DB" w:rsidRPr="007F4A2B">
        <w:rPr>
          <w:rFonts w:asciiTheme="majorHAnsi" w:hAnsiTheme="majorHAnsi" w:cstheme="majorHAnsi"/>
          <w:b/>
          <w:sz w:val="20"/>
          <w:szCs w:val="20"/>
        </w:rPr>
        <w:t>gemma.hayton</w:t>
      </w:r>
      <w:r w:rsidRPr="007F4A2B">
        <w:rPr>
          <w:rFonts w:asciiTheme="majorHAnsi" w:hAnsiTheme="majorHAnsi" w:cstheme="majorHAnsi"/>
          <w:b/>
          <w:sz w:val="20"/>
          <w:szCs w:val="20"/>
        </w:rPr>
        <w:t>@ncl.ac.uk</w:t>
      </w:r>
    </w:p>
    <w:sectPr w:rsidR="00746058" w:rsidRPr="007F4A2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3978" w14:textId="77777777" w:rsidR="00C75CD4" w:rsidRDefault="00C75CD4" w:rsidP="0030552C">
      <w:pPr>
        <w:spacing w:after="0" w:line="240" w:lineRule="auto"/>
      </w:pPr>
      <w:r>
        <w:separator/>
      </w:r>
    </w:p>
  </w:endnote>
  <w:endnote w:type="continuationSeparator" w:id="0">
    <w:p w14:paraId="3BFEA269" w14:textId="77777777" w:rsidR="00C75CD4" w:rsidRDefault="00C75CD4" w:rsidP="0030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6EF2" w14:textId="77777777" w:rsidR="0030552C" w:rsidRDefault="00305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E5BA" w14:textId="77777777" w:rsidR="00C75CD4" w:rsidRDefault="00C75CD4" w:rsidP="0030552C">
      <w:pPr>
        <w:spacing w:after="0" w:line="240" w:lineRule="auto"/>
      </w:pPr>
      <w:r>
        <w:separator/>
      </w:r>
    </w:p>
  </w:footnote>
  <w:footnote w:type="continuationSeparator" w:id="0">
    <w:p w14:paraId="7700C0A1" w14:textId="77777777" w:rsidR="00C75CD4" w:rsidRDefault="00C75CD4" w:rsidP="00305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C634" w14:textId="6C401545" w:rsidR="00087DEA" w:rsidRDefault="00087DEA" w:rsidP="00087DEA">
    <w:pPr>
      <w:pStyle w:val="Header"/>
      <w:jc w:val="right"/>
    </w:pPr>
  </w:p>
  <w:p w14:paraId="1D56A9B7" w14:textId="77777777" w:rsidR="00087DEA" w:rsidRDefault="00087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C1CEA"/>
    <w:multiLevelType w:val="hybridMultilevel"/>
    <w:tmpl w:val="41B8A4A2"/>
    <w:lvl w:ilvl="0" w:tplc="9702BF44">
      <w:start w:val="1"/>
      <w:numFmt w:val="lowerLetter"/>
      <w:lvlText w:val="(%1)"/>
      <w:lvlJc w:val="left"/>
      <w:pPr>
        <w:tabs>
          <w:tab w:val="num" w:pos="1440"/>
        </w:tabs>
        <w:ind w:left="1440" w:hanging="72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 w15:restartNumberingAfterBreak="0">
    <w:nsid w:val="38F96501"/>
    <w:multiLevelType w:val="hybridMultilevel"/>
    <w:tmpl w:val="471E9800"/>
    <w:lvl w:ilvl="0" w:tplc="A3E4CB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C86F8B"/>
    <w:multiLevelType w:val="hybridMultilevel"/>
    <w:tmpl w:val="C88E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938C1"/>
    <w:multiLevelType w:val="hybridMultilevel"/>
    <w:tmpl w:val="26B43112"/>
    <w:lvl w:ilvl="0" w:tplc="08090001">
      <w:start w:val="1"/>
      <w:numFmt w:val="bullet"/>
      <w:lvlText w:val=""/>
      <w:lvlJc w:val="left"/>
      <w:pPr>
        <w:tabs>
          <w:tab w:val="num" w:pos="1440"/>
        </w:tabs>
        <w:ind w:left="1440" w:hanging="720"/>
      </w:pPr>
      <w:rPr>
        <w:rFonts w:ascii="Symbol" w:hAnsi="Symbol"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4" w15:restartNumberingAfterBreak="0">
    <w:nsid w:val="4F012CD5"/>
    <w:multiLevelType w:val="hybridMultilevel"/>
    <w:tmpl w:val="69185822"/>
    <w:lvl w:ilvl="0" w:tplc="132CD4A0">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1024E9"/>
    <w:multiLevelType w:val="hybridMultilevel"/>
    <w:tmpl w:val="88DCEB9E"/>
    <w:lvl w:ilvl="0" w:tplc="132CD4A0">
      <w:start w:val="1"/>
      <w:numFmt w:val="lowerLetter"/>
      <w:lvlText w:val="(%1)"/>
      <w:lvlJc w:val="left"/>
      <w:pPr>
        <w:tabs>
          <w:tab w:val="num" w:pos="1440"/>
        </w:tabs>
        <w:ind w:left="1440" w:hanging="72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6" w15:restartNumberingAfterBreak="0">
    <w:nsid w:val="577C661C"/>
    <w:multiLevelType w:val="hybridMultilevel"/>
    <w:tmpl w:val="FF784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3492489">
    <w:abstractNumId w:val="5"/>
  </w:num>
  <w:num w:numId="2" w16cid:durableId="780149363">
    <w:abstractNumId w:val="0"/>
  </w:num>
  <w:num w:numId="3" w16cid:durableId="1392729484">
    <w:abstractNumId w:val="6"/>
  </w:num>
  <w:num w:numId="4" w16cid:durableId="1564637751">
    <w:abstractNumId w:val="4"/>
  </w:num>
  <w:num w:numId="5" w16cid:durableId="462388434">
    <w:abstractNumId w:val="3"/>
  </w:num>
  <w:num w:numId="6" w16cid:durableId="1660763673">
    <w:abstractNumId w:val="2"/>
  </w:num>
  <w:num w:numId="7" w16cid:durableId="883642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3MDA2tTAxMjS3NLNQ0lEKTi0uzszPAykwqgUAKI+vHiwAAAA="/>
  </w:docVars>
  <w:rsids>
    <w:rsidRoot w:val="006F7321"/>
    <w:rsid w:val="0005691C"/>
    <w:rsid w:val="000572B2"/>
    <w:rsid w:val="00087DEA"/>
    <w:rsid w:val="000A0086"/>
    <w:rsid w:val="000B03EC"/>
    <w:rsid w:val="000D7BC3"/>
    <w:rsid w:val="00113519"/>
    <w:rsid w:val="001165E8"/>
    <w:rsid w:val="001217A0"/>
    <w:rsid w:val="0014561A"/>
    <w:rsid w:val="00150B01"/>
    <w:rsid w:val="001C38DB"/>
    <w:rsid w:val="001D7C9C"/>
    <w:rsid w:val="002176B8"/>
    <w:rsid w:val="00230498"/>
    <w:rsid w:val="00235C57"/>
    <w:rsid w:val="002B2B23"/>
    <w:rsid w:val="002C32B3"/>
    <w:rsid w:val="002E21AB"/>
    <w:rsid w:val="0030552C"/>
    <w:rsid w:val="003803CF"/>
    <w:rsid w:val="003F21AB"/>
    <w:rsid w:val="00404624"/>
    <w:rsid w:val="0047472D"/>
    <w:rsid w:val="004C6C66"/>
    <w:rsid w:val="0052696E"/>
    <w:rsid w:val="00546351"/>
    <w:rsid w:val="005A0E09"/>
    <w:rsid w:val="005B707D"/>
    <w:rsid w:val="005D5654"/>
    <w:rsid w:val="00641217"/>
    <w:rsid w:val="006A53FB"/>
    <w:rsid w:val="006B2A93"/>
    <w:rsid w:val="006C1206"/>
    <w:rsid w:val="006F7321"/>
    <w:rsid w:val="00746058"/>
    <w:rsid w:val="00792D70"/>
    <w:rsid w:val="007A2C58"/>
    <w:rsid w:val="007F4A2B"/>
    <w:rsid w:val="008271E8"/>
    <w:rsid w:val="008A67EA"/>
    <w:rsid w:val="008A6A98"/>
    <w:rsid w:val="008B11E1"/>
    <w:rsid w:val="008D3D0C"/>
    <w:rsid w:val="00930853"/>
    <w:rsid w:val="00941BAC"/>
    <w:rsid w:val="00942496"/>
    <w:rsid w:val="0098650F"/>
    <w:rsid w:val="009A1210"/>
    <w:rsid w:val="009A6777"/>
    <w:rsid w:val="009B1492"/>
    <w:rsid w:val="009B4170"/>
    <w:rsid w:val="009B60E2"/>
    <w:rsid w:val="00A076B0"/>
    <w:rsid w:val="00A13A43"/>
    <w:rsid w:val="00A70A2A"/>
    <w:rsid w:val="00A9111D"/>
    <w:rsid w:val="00A952CB"/>
    <w:rsid w:val="00AD47AE"/>
    <w:rsid w:val="00B0463C"/>
    <w:rsid w:val="00B53395"/>
    <w:rsid w:val="00B92462"/>
    <w:rsid w:val="00BD0974"/>
    <w:rsid w:val="00C52B8A"/>
    <w:rsid w:val="00C565BB"/>
    <w:rsid w:val="00C5756D"/>
    <w:rsid w:val="00C75CD4"/>
    <w:rsid w:val="00C83756"/>
    <w:rsid w:val="00CB6EDD"/>
    <w:rsid w:val="00CE04C2"/>
    <w:rsid w:val="00CF3485"/>
    <w:rsid w:val="00CF7780"/>
    <w:rsid w:val="00D0380E"/>
    <w:rsid w:val="00D04E94"/>
    <w:rsid w:val="00D232AF"/>
    <w:rsid w:val="00D37FB0"/>
    <w:rsid w:val="00D77C6A"/>
    <w:rsid w:val="00D9437C"/>
    <w:rsid w:val="00DC4D54"/>
    <w:rsid w:val="00DF557E"/>
    <w:rsid w:val="00E17EE5"/>
    <w:rsid w:val="00E31795"/>
    <w:rsid w:val="00E8505F"/>
    <w:rsid w:val="00EE382A"/>
    <w:rsid w:val="00F24A89"/>
    <w:rsid w:val="00F53F0B"/>
    <w:rsid w:val="00F63CB0"/>
    <w:rsid w:val="00FB06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9DB2"/>
  <w15:chartTrackingRefBased/>
  <w15:docId w15:val="{4745202A-AE3B-4D7B-BBB8-CFF23746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A89"/>
    <w:pPr>
      <w:ind w:left="720"/>
      <w:contextualSpacing/>
    </w:pPr>
  </w:style>
  <w:style w:type="paragraph" w:styleId="Header">
    <w:name w:val="header"/>
    <w:basedOn w:val="Normal"/>
    <w:link w:val="HeaderChar"/>
    <w:uiPriority w:val="99"/>
    <w:unhideWhenUsed/>
    <w:rsid w:val="00305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52C"/>
  </w:style>
  <w:style w:type="paragraph" w:styleId="Footer">
    <w:name w:val="footer"/>
    <w:basedOn w:val="Normal"/>
    <w:link w:val="FooterChar"/>
    <w:uiPriority w:val="99"/>
    <w:unhideWhenUsed/>
    <w:rsid w:val="00305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52C"/>
  </w:style>
  <w:style w:type="character" w:styleId="CommentReference">
    <w:name w:val="annotation reference"/>
    <w:basedOn w:val="DefaultParagraphFont"/>
    <w:uiPriority w:val="99"/>
    <w:semiHidden/>
    <w:unhideWhenUsed/>
    <w:rsid w:val="00B92462"/>
    <w:rPr>
      <w:sz w:val="16"/>
      <w:szCs w:val="16"/>
    </w:rPr>
  </w:style>
  <w:style w:type="paragraph" w:styleId="CommentText">
    <w:name w:val="annotation text"/>
    <w:basedOn w:val="Normal"/>
    <w:link w:val="CommentTextChar"/>
    <w:uiPriority w:val="99"/>
    <w:semiHidden/>
    <w:unhideWhenUsed/>
    <w:rsid w:val="00B92462"/>
    <w:pPr>
      <w:spacing w:line="240" w:lineRule="auto"/>
    </w:pPr>
    <w:rPr>
      <w:sz w:val="20"/>
      <w:szCs w:val="20"/>
    </w:rPr>
  </w:style>
  <w:style w:type="character" w:customStyle="1" w:styleId="CommentTextChar">
    <w:name w:val="Comment Text Char"/>
    <w:basedOn w:val="DefaultParagraphFont"/>
    <w:link w:val="CommentText"/>
    <w:uiPriority w:val="99"/>
    <w:semiHidden/>
    <w:rsid w:val="00B92462"/>
    <w:rPr>
      <w:sz w:val="20"/>
      <w:szCs w:val="20"/>
    </w:rPr>
  </w:style>
  <w:style w:type="paragraph" w:styleId="CommentSubject">
    <w:name w:val="annotation subject"/>
    <w:basedOn w:val="CommentText"/>
    <w:next w:val="CommentText"/>
    <w:link w:val="CommentSubjectChar"/>
    <w:uiPriority w:val="99"/>
    <w:semiHidden/>
    <w:unhideWhenUsed/>
    <w:rsid w:val="00B92462"/>
    <w:rPr>
      <w:b/>
      <w:bCs/>
    </w:rPr>
  </w:style>
  <w:style w:type="character" w:customStyle="1" w:styleId="CommentSubjectChar">
    <w:name w:val="Comment Subject Char"/>
    <w:basedOn w:val="CommentTextChar"/>
    <w:link w:val="CommentSubject"/>
    <w:uiPriority w:val="99"/>
    <w:semiHidden/>
    <w:rsid w:val="00B92462"/>
    <w:rPr>
      <w:b/>
      <w:bCs/>
      <w:sz w:val="20"/>
      <w:szCs w:val="20"/>
    </w:rPr>
  </w:style>
  <w:style w:type="paragraph" w:styleId="BalloonText">
    <w:name w:val="Balloon Text"/>
    <w:basedOn w:val="Normal"/>
    <w:link w:val="BalloonTextChar"/>
    <w:uiPriority w:val="99"/>
    <w:semiHidden/>
    <w:unhideWhenUsed/>
    <w:rsid w:val="00B92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462"/>
    <w:rPr>
      <w:rFonts w:ascii="Segoe UI" w:hAnsi="Segoe UI" w:cs="Segoe UI"/>
      <w:sz w:val="18"/>
      <w:szCs w:val="18"/>
    </w:rPr>
  </w:style>
  <w:style w:type="character" w:styleId="Hyperlink">
    <w:name w:val="Hyperlink"/>
    <w:basedOn w:val="DefaultParagraphFont"/>
    <w:uiPriority w:val="99"/>
    <w:unhideWhenUsed/>
    <w:rsid w:val="009308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mma.hayton@n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Godden-Rasul;TT Arvind;Aisling McMahon</dc:creator>
  <cp:keywords/>
  <dc:description/>
  <cp:lastModifiedBy>Gemma Hayton</cp:lastModifiedBy>
  <cp:revision>8</cp:revision>
  <dcterms:created xsi:type="dcterms:W3CDTF">2022-07-27T13:45:00Z</dcterms:created>
  <dcterms:modified xsi:type="dcterms:W3CDTF">2023-07-18T14:22:00Z</dcterms:modified>
</cp:coreProperties>
</file>